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</w:t>
            </w:r>
          </w:p>
        </w:tc>
        <w:tc>
          <w:tcPr>
            <w:tcW w:w="399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及各项需求的响应情况和明细报价；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（1）一份盖章扫描版，一份可编辑的WORD版或excel版；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项目实施具体方案、实施周期</w:t>
            </w: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近两年</w:t>
            </w:r>
            <w:r>
              <w:rPr>
                <w:rFonts w:hint="eastAsia" w:ascii="微软雅黑" w:hAnsi="微软雅黑" w:eastAsia="微软雅黑"/>
                <w:szCs w:val="21"/>
              </w:rPr>
              <w:t>三甲医院合同（含项目内容清单）复印件。文件以“合作项目+合作单位+合作金额”命名。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5"/>
        <w:shd w:val="clear" w:color="auto" w:fill="FFFFFF"/>
        <w:spacing w:before="0" w:beforeAutospacing="0"/>
        <w:jc w:val="center"/>
        <w:rPr>
          <w:rFonts w:ascii="微软雅黑" w:hAnsi="微软雅黑" w:eastAsia="微软雅黑" w:cs="Tahoma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  <w:rsid w:val="189D65F9"/>
    <w:rsid w:val="193A7BB4"/>
    <w:rsid w:val="2CE723AE"/>
    <w:rsid w:val="357D4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netuser</cp:lastModifiedBy>
  <dcterms:modified xsi:type="dcterms:W3CDTF">2021-01-06T00:12:38Z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