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outlineLvl w:val="9"/>
        <w:rPr>
          <w:rFonts w:hint="eastAsia"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val="en-US" w:eastAsia="zh-CN"/>
        </w:rPr>
        <w:t>附件1</w:t>
      </w:r>
    </w:p>
    <w:p>
      <w:pPr>
        <w:bidi w:val="0"/>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广东省人民医院国家电子病历系统功能应用水平</w:t>
      </w:r>
    </w:p>
    <w:p>
      <w:pPr>
        <w:bidi w:val="0"/>
        <w:jc w:val="center"/>
        <w:outlineLvl w:val="9"/>
        <w:rPr>
          <w:rFonts w:hint="eastAsia" w:ascii="宋体" w:hAnsi="宋体" w:eastAsia="宋体" w:cs="宋体"/>
          <w:b/>
          <w:bCs/>
          <w:color w:val="auto"/>
          <w:sz w:val="44"/>
          <w:szCs w:val="24"/>
          <w:lang w:val="en-US" w:eastAsia="zh-CN"/>
        </w:rPr>
      </w:pPr>
      <w:r>
        <w:rPr>
          <w:rFonts w:hint="eastAsia" w:ascii="宋体" w:hAnsi="宋体" w:eastAsia="宋体" w:cs="宋体"/>
          <w:b/>
          <w:bCs/>
          <w:color w:val="000000"/>
          <w:sz w:val="32"/>
          <w:szCs w:val="32"/>
        </w:rPr>
        <w:t>分级评价（五级）测评技术服务采购项目</w:t>
      </w:r>
      <w:r>
        <w:rPr>
          <w:rFonts w:hint="eastAsia" w:ascii="宋体" w:hAnsi="宋体" w:eastAsia="宋体" w:cs="宋体"/>
          <w:b/>
          <w:bCs/>
          <w:color w:val="000000"/>
          <w:sz w:val="32"/>
          <w:szCs w:val="32"/>
          <w:lang w:val="en-US" w:eastAsia="zh-CN"/>
        </w:rPr>
        <w:t>需求文档</w:t>
      </w:r>
    </w:p>
    <w:p>
      <w:pPr>
        <w:pStyle w:val="3"/>
        <w:rPr>
          <w:rFonts w:hint="eastAsia" w:ascii="宋体" w:hAnsi="宋体" w:eastAsia="宋体" w:cs="宋体"/>
          <w:color w:val="auto"/>
          <w:kern w:val="2"/>
          <w:sz w:val="24"/>
          <w:szCs w:val="24"/>
          <w:vertAlign w:val="baseline"/>
          <w:lang w:val="en-US" w:eastAsia="zh-CN" w:bidi="ar-SA"/>
        </w:rPr>
      </w:pPr>
    </w:p>
    <w:p>
      <w:pPr>
        <w:pStyle w:val="4"/>
        <w:numPr>
          <w:ilvl w:val="0"/>
          <w:numId w:val="2"/>
        </w:numPr>
        <w:rPr>
          <w:rFonts w:hint="eastAsia" w:ascii="宋体" w:hAnsi="宋体" w:eastAsia="宋体" w:cs="宋体"/>
          <w:b/>
          <w:bCs/>
          <w:color w:val="auto"/>
          <w:kern w:val="2"/>
          <w:sz w:val="32"/>
          <w:szCs w:val="32"/>
          <w:vertAlign w:val="baseline"/>
          <w:lang w:val="en-US" w:eastAsia="zh-CN" w:bidi="ar-SA"/>
        </w:rPr>
      </w:pPr>
      <w:r>
        <w:rPr>
          <w:rFonts w:hint="eastAsia" w:ascii="宋体" w:hAnsi="宋体" w:eastAsia="宋体" w:cs="宋体"/>
          <w:b/>
          <w:bCs/>
          <w:color w:val="auto"/>
          <w:kern w:val="2"/>
          <w:sz w:val="32"/>
          <w:szCs w:val="32"/>
          <w:vertAlign w:val="baseline"/>
          <w:lang w:val="en-US" w:eastAsia="zh-CN" w:bidi="ar-SA"/>
        </w:rPr>
        <w:t>项目标的</w:t>
      </w:r>
    </w:p>
    <w:p>
      <w:pPr>
        <w:pStyle w:val="4"/>
        <w:numPr>
          <w:ilvl w:val="0"/>
          <w:numId w:val="0"/>
        </w:numPr>
        <w:rPr>
          <w:rFonts w:hint="eastAsia" w:ascii="宋体" w:hAnsi="宋体" w:eastAsia="宋体" w:cs="宋体"/>
          <w:b/>
          <w:bCs/>
          <w:color w:val="auto"/>
          <w:kern w:val="2"/>
          <w:sz w:val="28"/>
          <w:szCs w:val="28"/>
          <w:vertAlign w:val="baseline"/>
          <w:lang w:val="en-US" w:eastAsia="zh-CN" w:bidi="ar-SA"/>
        </w:rPr>
      </w:pPr>
    </w:p>
    <w:tbl>
      <w:tblPr>
        <w:tblStyle w:val="14"/>
        <w:tblW w:w="7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340"/>
        <w:gridCol w:w="1706"/>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30" w:type="dxa"/>
            <w:vAlign w:val="center"/>
          </w:tcPr>
          <w:p>
            <w:pPr>
              <w:jc w:val="center"/>
              <w:rPr>
                <w:rFonts w:hint="eastAsia" w:ascii="宋体" w:hAnsi="宋体" w:eastAsia="宋体" w:cs="宋体"/>
                <w:b/>
                <w:kern w:val="0"/>
                <w:sz w:val="28"/>
                <w:szCs w:val="22"/>
              </w:rPr>
            </w:pPr>
            <w:r>
              <w:rPr>
                <w:rFonts w:hint="eastAsia" w:ascii="宋体" w:hAnsi="宋体" w:eastAsia="宋体" w:cs="宋体"/>
                <w:b/>
                <w:kern w:val="0"/>
                <w:sz w:val="28"/>
                <w:szCs w:val="22"/>
              </w:rPr>
              <w:t>序号</w:t>
            </w:r>
          </w:p>
        </w:tc>
        <w:tc>
          <w:tcPr>
            <w:tcW w:w="4340" w:type="dxa"/>
            <w:vAlign w:val="center"/>
          </w:tcPr>
          <w:p>
            <w:pPr>
              <w:jc w:val="center"/>
              <w:rPr>
                <w:rFonts w:hint="eastAsia" w:ascii="宋体" w:hAnsi="宋体" w:eastAsia="宋体" w:cs="宋体"/>
                <w:b/>
                <w:kern w:val="0"/>
                <w:sz w:val="28"/>
                <w:szCs w:val="22"/>
              </w:rPr>
            </w:pPr>
            <w:r>
              <w:rPr>
                <w:rFonts w:hint="eastAsia" w:ascii="宋体" w:hAnsi="宋体" w:eastAsia="宋体" w:cs="宋体"/>
                <w:b/>
                <w:kern w:val="0"/>
                <w:sz w:val="28"/>
                <w:szCs w:val="22"/>
              </w:rPr>
              <w:t>内容</w:t>
            </w:r>
          </w:p>
        </w:tc>
        <w:tc>
          <w:tcPr>
            <w:tcW w:w="1706" w:type="dxa"/>
            <w:vAlign w:val="center"/>
          </w:tcPr>
          <w:p>
            <w:pPr>
              <w:jc w:val="center"/>
              <w:rPr>
                <w:rFonts w:hint="eastAsia" w:ascii="宋体" w:hAnsi="宋体" w:eastAsia="宋体" w:cs="宋体"/>
                <w:b/>
                <w:kern w:val="0"/>
                <w:sz w:val="28"/>
                <w:szCs w:val="22"/>
                <w:lang w:eastAsia="zh-CN"/>
              </w:rPr>
            </w:pPr>
            <w:r>
              <w:rPr>
                <w:rFonts w:hint="eastAsia" w:ascii="宋体" w:hAnsi="宋体" w:eastAsia="宋体" w:cs="宋体"/>
                <w:b/>
                <w:kern w:val="0"/>
                <w:sz w:val="28"/>
                <w:szCs w:val="22"/>
              </w:rPr>
              <w:t>数量</w:t>
            </w:r>
            <w:r>
              <w:rPr>
                <w:rFonts w:hint="eastAsia" w:ascii="宋体" w:hAnsi="宋体" w:eastAsia="宋体" w:cs="宋体"/>
                <w:b/>
                <w:kern w:val="0"/>
                <w:sz w:val="28"/>
                <w:szCs w:val="22"/>
                <w:lang w:eastAsia="zh-CN"/>
              </w:rPr>
              <w:t>（</w:t>
            </w:r>
            <w:r>
              <w:rPr>
                <w:rFonts w:hint="eastAsia" w:ascii="宋体" w:hAnsi="宋体" w:eastAsia="宋体" w:cs="宋体"/>
                <w:b/>
                <w:kern w:val="0"/>
                <w:sz w:val="28"/>
                <w:szCs w:val="22"/>
                <w:lang w:val="en-US" w:eastAsia="zh-CN"/>
              </w:rPr>
              <w:t>单位</w:t>
            </w:r>
            <w:r>
              <w:rPr>
                <w:rFonts w:hint="eastAsia" w:ascii="宋体" w:hAnsi="宋体" w:eastAsia="宋体" w:cs="宋体"/>
                <w:b/>
                <w:kern w:val="0"/>
                <w:sz w:val="28"/>
                <w:szCs w:val="22"/>
                <w:lang w:eastAsia="zh-CN"/>
              </w:rPr>
              <w:t>）</w:t>
            </w:r>
          </w:p>
        </w:tc>
        <w:tc>
          <w:tcPr>
            <w:tcW w:w="1015" w:type="dxa"/>
            <w:vAlign w:val="center"/>
          </w:tcPr>
          <w:p>
            <w:pPr>
              <w:jc w:val="center"/>
              <w:rPr>
                <w:rFonts w:hint="eastAsia" w:ascii="宋体" w:hAnsi="宋体" w:eastAsia="宋体" w:cs="宋体"/>
                <w:b/>
                <w:kern w:val="0"/>
                <w:sz w:val="28"/>
                <w:szCs w:val="22"/>
                <w:lang w:eastAsia="zh-CN"/>
              </w:rPr>
            </w:pPr>
            <w:r>
              <w:rPr>
                <w:rFonts w:hint="eastAsia" w:ascii="宋体" w:hAnsi="宋体" w:eastAsia="宋体" w:cs="宋体"/>
                <w:b/>
                <w:kern w:val="0"/>
                <w:sz w:val="28"/>
                <w:szCs w:val="22"/>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0" w:type="dxa"/>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4340" w:type="dxa"/>
            <w:vAlign w:val="center"/>
          </w:tcPr>
          <w:p>
            <w:pPr>
              <w:jc w:val="left"/>
              <w:rPr>
                <w:rFonts w:hint="eastAsia" w:ascii="宋体" w:hAnsi="宋体" w:eastAsia="宋体" w:cs="宋体"/>
                <w:kern w:val="0"/>
                <w:sz w:val="28"/>
                <w:szCs w:val="28"/>
              </w:rPr>
            </w:pPr>
            <w:r>
              <w:rPr>
                <w:rFonts w:hint="eastAsia" w:ascii="宋体" w:hAnsi="宋体" w:eastAsia="宋体" w:cs="宋体"/>
                <w:color w:val="000000" w:themeColor="text1"/>
                <w:kern w:val="0"/>
                <w:sz w:val="28"/>
                <w:szCs w:val="28"/>
                <w14:textFill>
                  <w14:solidFill>
                    <w14:schemeClr w14:val="tx1"/>
                  </w14:solidFill>
                </w14:textFill>
              </w:rPr>
              <w:t>国家电子病历系统功能应用水平分级评价（</w:t>
            </w:r>
            <w:r>
              <w:rPr>
                <w:rFonts w:hint="eastAsia" w:ascii="宋体" w:hAnsi="宋体" w:eastAsia="宋体" w:cs="宋体"/>
                <w:color w:val="000000" w:themeColor="text1"/>
                <w:kern w:val="0"/>
                <w:sz w:val="28"/>
                <w:szCs w:val="28"/>
                <w:lang w:val="en-US" w:eastAsia="zh-CN"/>
                <w14:textFill>
                  <w14:solidFill>
                    <w14:schemeClr w14:val="tx1"/>
                  </w14:solidFill>
                </w14:textFill>
              </w:rPr>
              <w:t>五</w:t>
            </w:r>
            <w:r>
              <w:rPr>
                <w:rFonts w:hint="eastAsia" w:ascii="宋体" w:hAnsi="宋体" w:eastAsia="宋体" w:cs="宋体"/>
                <w:color w:val="000000" w:themeColor="text1"/>
                <w:kern w:val="0"/>
                <w:sz w:val="28"/>
                <w:szCs w:val="28"/>
                <w14:textFill>
                  <w14:solidFill>
                    <w14:schemeClr w14:val="tx1"/>
                  </w14:solidFill>
                </w14:textFill>
              </w:rPr>
              <w:t>级）</w:t>
            </w:r>
            <w:r>
              <w:rPr>
                <w:rFonts w:hint="eastAsia" w:ascii="宋体" w:hAnsi="宋体" w:eastAsia="宋体" w:cs="宋体"/>
                <w:kern w:val="0"/>
                <w:sz w:val="28"/>
                <w:szCs w:val="28"/>
              </w:rPr>
              <w:t>测评技术服务</w:t>
            </w:r>
          </w:p>
        </w:tc>
        <w:tc>
          <w:tcPr>
            <w:tcW w:w="1706" w:type="dxa"/>
            <w:vAlign w:val="center"/>
          </w:tcPr>
          <w:p>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项</w:t>
            </w:r>
          </w:p>
        </w:tc>
        <w:tc>
          <w:tcPr>
            <w:tcW w:w="1015" w:type="dxa"/>
            <w:vAlign w:val="center"/>
          </w:tcPr>
          <w:p>
            <w:pPr>
              <w:jc w:val="center"/>
              <w:rPr>
                <w:rFonts w:hint="eastAsia" w:ascii="宋体" w:hAnsi="宋体" w:eastAsia="宋体" w:cs="宋体"/>
                <w:kern w:val="0"/>
                <w:sz w:val="28"/>
                <w:szCs w:val="28"/>
              </w:rPr>
            </w:pPr>
          </w:p>
        </w:tc>
      </w:tr>
    </w:tbl>
    <w:p>
      <w:pPr>
        <w:pStyle w:val="4"/>
        <w:numPr>
          <w:ilvl w:val="0"/>
          <w:numId w:val="0"/>
        </w:numPr>
        <w:rPr>
          <w:rFonts w:hint="eastAsia" w:ascii="宋体" w:hAnsi="宋体" w:eastAsia="宋体" w:cs="宋体"/>
          <w:color w:val="auto"/>
          <w:kern w:val="2"/>
          <w:sz w:val="24"/>
          <w:szCs w:val="24"/>
          <w:vertAlign w:val="baseline"/>
          <w:lang w:val="en-US" w:eastAsia="zh-CN" w:bidi="ar-SA"/>
        </w:rPr>
      </w:pPr>
    </w:p>
    <w:p>
      <w:pPr>
        <w:pStyle w:val="4"/>
        <w:numPr>
          <w:ilvl w:val="0"/>
          <w:numId w:val="0"/>
        </w:numPr>
        <w:rPr>
          <w:rFonts w:hint="eastAsia" w:ascii="宋体" w:hAnsi="宋体" w:eastAsia="宋体" w:cs="宋体"/>
          <w:color w:val="auto"/>
          <w:kern w:val="2"/>
          <w:sz w:val="24"/>
          <w:szCs w:val="24"/>
          <w:vertAlign w:val="baseline"/>
          <w:lang w:val="en-US" w:eastAsia="zh-CN" w:bidi="ar-SA"/>
        </w:rPr>
      </w:pPr>
    </w:p>
    <w:p>
      <w:pPr>
        <w:pStyle w:val="4"/>
        <w:numPr>
          <w:ilvl w:val="0"/>
          <w:numId w:val="2"/>
        </w:numPr>
        <w:rPr>
          <w:rFonts w:hint="eastAsia" w:ascii="宋体" w:hAnsi="宋体" w:eastAsia="宋体" w:cs="宋体"/>
          <w:b/>
          <w:bCs/>
          <w:color w:val="auto"/>
          <w:kern w:val="2"/>
          <w:sz w:val="32"/>
          <w:szCs w:val="32"/>
          <w:vertAlign w:val="baseline"/>
          <w:lang w:val="en-US" w:eastAsia="zh-CN" w:bidi="ar-SA"/>
        </w:rPr>
      </w:pPr>
      <w:bookmarkStart w:id="0" w:name="_Toc1916_WPSOffice_Level1"/>
      <w:bookmarkStart w:id="1" w:name="_Toc25657_WPSOffice_Level1"/>
      <w:bookmarkStart w:id="2" w:name="_Toc30125_WPSOffice_Level1"/>
      <w:bookmarkStart w:id="3" w:name="_Toc16628_WPSOffice_Level1"/>
      <w:r>
        <w:rPr>
          <w:rFonts w:hint="eastAsia" w:ascii="宋体" w:hAnsi="宋体" w:eastAsia="宋体" w:cs="宋体"/>
          <w:b/>
          <w:bCs/>
          <w:color w:val="auto"/>
          <w:kern w:val="2"/>
          <w:sz w:val="32"/>
          <w:szCs w:val="32"/>
          <w:vertAlign w:val="baseline"/>
          <w:lang w:val="en-US" w:eastAsia="zh-CN" w:bidi="ar-SA"/>
        </w:rPr>
        <w:t>用户需求</w:t>
      </w:r>
    </w:p>
    <w:p>
      <w:pPr>
        <w:pStyle w:val="4"/>
        <w:numPr>
          <w:ilvl w:val="0"/>
          <w:numId w:val="0"/>
        </w:numPr>
        <w:rPr>
          <w:rFonts w:hint="eastAsia" w:ascii="宋体" w:hAnsi="宋体" w:eastAsia="宋体" w:cs="宋体"/>
          <w:b/>
          <w:bCs/>
          <w:color w:val="auto"/>
          <w:kern w:val="2"/>
          <w:sz w:val="28"/>
          <w:szCs w:val="28"/>
          <w:vertAlign w:val="baseline"/>
          <w:lang w:val="en-US" w:eastAsia="zh-CN" w:bidi="ar-SA"/>
        </w:rPr>
      </w:pPr>
    </w:p>
    <w:p>
      <w:pPr>
        <w:numPr>
          <w:ilvl w:val="0"/>
          <w:numId w:val="3"/>
        </w:numPr>
        <w:ind w:left="0" w:leftChars="0" w:firstLine="420" w:firstLineChars="0"/>
        <w:rPr>
          <w:rFonts w:hint="eastAsia" w:ascii="宋体" w:hAnsi="宋体" w:eastAsia="宋体" w:cs="宋体"/>
          <w:b/>
          <w:bCs/>
          <w:sz w:val="28"/>
          <w:szCs w:val="36"/>
        </w:rPr>
      </w:pPr>
      <w:r>
        <w:rPr>
          <w:rFonts w:hint="eastAsia" w:ascii="宋体" w:hAnsi="宋体" w:eastAsia="宋体" w:cs="宋体"/>
          <w:b/>
          <w:bCs/>
          <w:sz w:val="28"/>
          <w:szCs w:val="36"/>
        </w:rPr>
        <w:t>系统功能改造</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对医院信息化建设进行电子病历系统功能应用水平分级评价（</w:t>
      </w:r>
      <w:r>
        <w:rPr>
          <w:rFonts w:hint="eastAsia" w:ascii="宋体" w:hAnsi="宋体" w:eastAsia="宋体" w:cs="宋体"/>
          <w:color w:val="000000" w:themeColor="text1"/>
          <w:sz w:val="24"/>
          <w:lang w:eastAsia="zh-CN"/>
          <w14:textFill>
            <w14:solidFill>
              <w14:schemeClr w14:val="tx1"/>
            </w14:solidFill>
          </w14:textFill>
        </w:rPr>
        <w:t>五级</w:t>
      </w:r>
      <w:r>
        <w:rPr>
          <w:rFonts w:hint="eastAsia" w:ascii="宋体" w:hAnsi="宋体" w:eastAsia="宋体" w:cs="宋体"/>
          <w:color w:val="000000" w:themeColor="text1"/>
          <w:sz w:val="24"/>
          <w14:textFill>
            <w14:solidFill>
              <w14:schemeClr w14:val="tx1"/>
            </w14:solidFill>
          </w14:textFill>
        </w:rPr>
        <w:t>）评审对标分析后，针对医院现有系统功能提出相关的改造方案，并对现有系统功能进行改造。</w:t>
      </w: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投标人提供的系统功能改造需满足</w:t>
      </w:r>
      <w:r>
        <w:rPr>
          <w:rFonts w:hint="eastAsia" w:ascii="宋体" w:hAnsi="宋体" w:eastAsia="宋体" w:cs="宋体"/>
          <w:color w:val="000000" w:themeColor="text1"/>
          <w:sz w:val="24"/>
          <w14:textFill>
            <w14:solidFill>
              <w14:schemeClr w14:val="tx1"/>
            </w14:solidFill>
          </w14:textFill>
        </w:rPr>
        <w:t>电子病历系统功能应用水平分级评价（</w:t>
      </w:r>
      <w:r>
        <w:rPr>
          <w:rFonts w:hint="eastAsia" w:ascii="宋体" w:hAnsi="宋体" w:eastAsia="宋体" w:cs="宋体"/>
          <w:color w:val="000000" w:themeColor="text1"/>
          <w:sz w:val="24"/>
          <w:lang w:eastAsia="zh-CN"/>
          <w14:textFill>
            <w14:solidFill>
              <w14:schemeClr w14:val="tx1"/>
            </w14:solidFill>
          </w14:textFill>
        </w:rPr>
        <w:t>五级</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标准要求：</w:t>
      </w:r>
    </w:p>
    <w:tbl>
      <w:tblPr>
        <w:tblStyle w:val="13"/>
        <w:tblW w:w="8676" w:type="dxa"/>
        <w:jc w:val="center"/>
        <w:tblLayout w:type="fixed"/>
        <w:tblCellMar>
          <w:top w:w="0" w:type="dxa"/>
          <w:left w:w="108" w:type="dxa"/>
          <w:bottom w:w="0" w:type="dxa"/>
          <w:right w:w="108" w:type="dxa"/>
        </w:tblCellMar>
      </w:tblPr>
      <w:tblGrid>
        <w:gridCol w:w="534"/>
        <w:gridCol w:w="600"/>
        <w:gridCol w:w="709"/>
        <w:gridCol w:w="3827"/>
        <w:gridCol w:w="3006"/>
      </w:tblGrid>
      <w:tr>
        <w:tblPrEx>
          <w:tblCellMar>
            <w:top w:w="0" w:type="dxa"/>
            <w:left w:w="108" w:type="dxa"/>
            <w:bottom w:w="0" w:type="dxa"/>
            <w:right w:w="108" w:type="dxa"/>
          </w:tblCellMar>
        </w:tblPrEx>
        <w:trPr>
          <w:cantSplit/>
          <w:trHeight w:val="1004" w:hRule="atLeast"/>
          <w:tblHeader/>
          <w:jc w:val="center"/>
        </w:trPr>
        <w:tc>
          <w:tcPr>
            <w:tcW w:w="534" w:type="dxa"/>
            <w:tcBorders>
              <w:top w:val="single" w:color="auto" w:sz="4" w:space="0"/>
              <w:left w:val="single" w:color="auto" w:sz="4" w:space="0"/>
              <w:bottom w:val="single" w:color="auto" w:sz="4" w:space="0"/>
              <w:right w:val="single" w:color="auto" w:sz="4" w:space="0"/>
            </w:tcBorders>
            <w:shd w:val="clear" w:color="000000" w:fill="9CC3E6"/>
            <w:vAlign w:val="center"/>
          </w:tcPr>
          <w:p>
            <w:pPr>
              <w:widowControl/>
              <w:jc w:val="center"/>
              <w:rPr>
                <w:rFonts w:hint="eastAsia" w:ascii="宋体" w:hAnsi="宋体" w:eastAsia="宋体" w:cs="宋体"/>
                <w:b/>
                <w:color w:val="000000" w:themeColor="text1"/>
                <w:kern w:val="0"/>
                <w:sz w:val="18"/>
                <w:szCs w:val="20"/>
                <w14:textFill>
                  <w14:solidFill>
                    <w14:schemeClr w14:val="tx1"/>
                  </w14:solidFill>
                </w14:textFill>
              </w:rPr>
            </w:pPr>
            <w:r>
              <w:rPr>
                <w:rFonts w:hint="eastAsia" w:ascii="宋体" w:hAnsi="宋体" w:eastAsia="宋体" w:cs="宋体"/>
                <w:b/>
                <w:color w:val="000000" w:themeColor="text1"/>
                <w:kern w:val="0"/>
                <w:sz w:val="18"/>
                <w:szCs w:val="20"/>
                <w14:textFill>
                  <w14:solidFill>
                    <w14:schemeClr w14:val="tx1"/>
                  </w14:solidFill>
                </w14:textFill>
              </w:rPr>
              <w:t>序号</w:t>
            </w:r>
          </w:p>
        </w:tc>
        <w:tc>
          <w:tcPr>
            <w:tcW w:w="600" w:type="dxa"/>
            <w:tcBorders>
              <w:top w:val="single" w:color="auto" w:sz="4" w:space="0"/>
              <w:left w:val="single" w:color="auto" w:sz="4" w:space="0"/>
              <w:bottom w:val="single" w:color="auto" w:sz="4" w:space="0"/>
              <w:right w:val="single" w:color="auto" w:sz="4" w:space="0"/>
            </w:tcBorders>
            <w:shd w:val="clear" w:color="000000" w:fill="9CC3E6"/>
            <w:noWrap/>
            <w:vAlign w:val="center"/>
          </w:tcPr>
          <w:p>
            <w:pPr>
              <w:widowControl/>
              <w:jc w:val="center"/>
              <w:rPr>
                <w:rFonts w:hint="eastAsia" w:ascii="宋体" w:hAnsi="宋体" w:eastAsia="宋体" w:cs="宋体"/>
                <w:b/>
                <w:color w:val="000000" w:themeColor="text1"/>
                <w:kern w:val="0"/>
                <w:sz w:val="18"/>
                <w:szCs w:val="20"/>
                <w14:textFill>
                  <w14:solidFill>
                    <w14:schemeClr w14:val="tx1"/>
                  </w14:solidFill>
                </w14:textFill>
              </w:rPr>
            </w:pPr>
            <w:r>
              <w:rPr>
                <w:rFonts w:hint="eastAsia" w:ascii="宋体" w:hAnsi="宋体" w:eastAsia="宋体" w:cs="宋体"/>
                <w:b/>
                <w:color w:val="000000" w:themeColor="text1"/>
                <w:kern w:val="0"/>
                <w:sz w:val="18"/>
                <w:szCs w:val="20"/>
                <w14:textFill>
                  <w14:solidFill>
                    <w14:schemeClr w14:val="tx1"/>
                  </w14:solidFill>
                </w14:textFill>
              </w:rPr>
              <w:t>项目代码</w:t>
            </w:r>
          </w:p>
        </w:tc>
        <w:tc>
          <w:tcPr>
            <w:tcW w:w="709" w:type="dxa"/>
            <w:tcBorders>
              <w:top w:val="single" w:color="auto" w:sz="4" w:space="0"/>
              <w:left w:val="nil"/>
              <w:bottom w:val="single" w:color="auto" w:sz="4" w:space="0"/>
              <w:right w:val="single" w:color="auto" w:sz="4" w:space="0"/>
            </w:tcBorders>
            <w:shd w:val="clear" w:color="000000" w:fill="9CC3E6"/>
            <w:noWrap/>
            <w:vAlign w:val="center"/>
          </w:tcPr>
          <w:p>
            <w:pPr>
              <w:widowControl/>
              <w:jc w:val="center"/>
              <w:rPr>
                <w:rFonts w:hint="eastAsia" w:ascii="宋体" w:hAnsi="宋体" w:eastAsia="宋体" w:cs="宋体"/>
                <w:b/>
                <w:color w:val="000000" w:themeColor="text1"/>
                <w:kern w:val="0"/>
                <w:sz w:val="18"/>
                <w:szCs w:val="20"/>
                <w14:textFill>
                  <w14:solidFill>
                    <w14:schemeClr w14:val="tx1"/>
                  </w14:solidFill>
                </w14:textFill>
              </w:rPr>
            </w:pPr>
            <w:r>
              <w:rPr>
                <w:rFonts w:hint="eastAsia" w:ascii="宋体" w:hAnsi="宋体" w:eastAsia="宋体" w:cs="宋体"/>
                <w:b/>
                <w:color w:val="000000" w:themeColor="text1"/>
                <w:kern w:val="0"/>
                <w:sz w:val="18"/>
                <w:szCs w:val="20"/>
                <w14:textFill>
                  <w14:solidFill>
                    <w14:schemeClr w14:val="tx1"/>
                  </w14:solidFill>
                </w14:textFill>
              </w:rPr>
              <w:t>工作角色</w:t>
            </w:r>
          </w:p>
        </w:tc>
        <w:tc>
          <w:tcPr>
            <w:tcW w:w="3827" w:type="dxa"/>
            <w:tcBorders>
              <w:top w:val="single" w:color="auto" w:sz="4" w:space="0"/>
              <w:left w:val="nil"/>
              <w:bottom w:val="single" w:color="auto" w:sz="4" w:space="0"/>
              <w:right w:val="single" w:color="auto" w:sz="4" w:space="0"/>
            </w:tcBorders>
            <w:shd w:val="clear" w:color="000000" w:fill="9CC3E6"/>
            <w:noWrap/>
            <w:vAlign w:val="center"/>
          </w:tcPr>
          <w:p>
            <w:pPr>
              <w:widowControl/>
              <w:jc w:val="center"/>
              <w:rPr>
                <w:rFonts w:hint="eastAsia" w:ascii="宋体" w:hAnsi="宋体" w:eastAsia="宋体" w:cs="宋体"/>
                <w:b/>
                <w:bCs/>
                <w:color w:val="000000" w:themeColor="text1"/>
                <w:kern w:val="0"/>
                <w:sz w:val="18"/>
                <w:szCs w:val="20"/>
                <w14:textFill>
                  <w14:solidFill>
                    <w14:schemeClr w14:val="tx1"/>
                  </w14:solidFill>
                </w14:textFill>
              </w:rPr>
            </w:pPr>
            <w:r>
              <w:rPr>
                <w:rFonts w:hint="eastAsia" w:ascii="宋体" w:hAnsi="宋体" w:eastAsia="宋体" w:cs="宋体"/>
                <w:b/>
                <w:bCs/>
                <w:color w:val="000000" w:themeColor="text1"/>
                <w:kern w:val="0"/>
                <w:sz w:val="18"/>
                <w:szCs w:val="20"/>
                <w14:textFill>
                  <w14:solidFill>
                    <w14:schemeClr w14:val="tx1"/>
                  </w14:solidFill>
                </w14:textFill>
              </w:rPr>
              <w:t>标准内容</w:t>
            </w:r>
          </w:p>
        </w:tc>
        <w:tc>
          <w:tcPr>
            <w:tcW w:w="3006" w:type="dxa"/>
            <w:tcBorders>
              <w:top w:val="single" w:color="auto" w:sz="4" w:space="0"/>
              <w:left w:val="nil"/>
              <w:bottom w:val="single" w:color="auto" w:sz="4" w:space="0"/>
              <w:right w:val="single" w:color="auto" w:sz="4" w:space="0"/>
            </w:tcBorders>
            <w:shd w:val="clear" w:color="000000" w:fill="9CC3E6"/>
            <w:noWrap/>
            <w:vAlign w:val="center"/>
          </w:tcPr>
          <w:p>
            <w:pPr>
              <w:widowControl/>
              <w:jc w:val="center"/>
              <w:rPr>
                <w:rFonts w:hint="eastAsia" w:ascii="宋体" w:hAnsi="宋体" w:eastAsia="宋体" w:cs="宋体"/>
                <w:b/>
                <w:color w:val="000000" w:themeColor="text1"/>
                <w:kern w:val="0"/>
                <w:sz w:val="18"/>
                <w:szCs w:val="20"/>
                <w14:textFill>
                  <w14:solidFill>
                    <w14:schemeClr w14:val="tx1"/>
                  </w14:solidFill>
                </w14:textFill>
              </w:rPr>
            </w:pPr>
            <w:r>
              <w:rPr>
                <w:rFonts w:hint="eastAsia" w:ascii="宋体" w:hAnsi="宋体" w:eastAsia="宋体" w:cs="宋体"/>
                <w:b/>
                <w:color w:val="000000" w:themeColor="text1"/>
                <w:kern w:val="0"/>
                <w:sz w:val="18"/>
                <w:szCs w:val="20"/>
                <w14:textFill>
                  <w14:solidFill>
                    <w14:schemeClr w14:val="tx1"/>
                  </w14:solidFill>
                </w14:textFill>
              </w:rPr>
              <w:t>数据完整性要求</w:t>
            </w:r>
          </w:p>
        </w:tc>
      </w:tr>
      <w:tr>
        <w:tblPrEx>
          <w:tblCellMar>
            <w:top w:w="0" w:type="dxa"/>
            <w:left w:w="108" w:type="dxa"/>
            <w:bottom w:w="0" w:type="dxa"/>
            <w:right w:w="108" w:type="dxa"/>
          </w:tblCellMar>
        </w:tblPrEx>
        <w:trPr>
          <w:cantSplit/>
          <w:trHeight w:val="150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01.02.4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（1）下达申请时可获得检验项目和标本信息，如适应症、采集要求、作用等</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（2）检验项目来自全院统一检验项目字典</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完整性：检验申请记录（检验申请单号、患者标识、患者性别、项目编码、项目名称、标本名称）</w:t>
            </w:r>
          </w:p>
        </w:tc>
      </w:tr>
      <w:tr>
        <w:tblPrEx>
          <w:tblCellMar>
            <w:top w:w="0" w:type="dxa"/>
            <w:left w:w="108" w:type="dxa"/>
            <w:bottom w:w="0" w:type="dxa"/>
            <w:right w:w="108" w:type="dxa"/>
          </w:tblCellMar>
        </w:tblPrEx>
        <w:trPr>
          <w:cantSplit/>
          <w:trHeight w:val="192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01.03.5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（1）检验报告来自全院统一医疗数据管理体系</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（2）查阅报告时，对于多正常参考值的项目能够根据检验结果和诊断、性别、生理指标等自动给出正常结果的判断与提示</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（3）可根据历史检验结果绘制趋势图</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（4）对于危急检验结果，医师、护士能够在系统中看到</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（5）浏览检验报告时，可以浏览患者重要病历信息；</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1、检验报告记录（报告检验科室、审核医师）</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2、检验危急值记录（项目编码、危急值、通知时间、医生接收时间、处理医生、处理记录）</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1、检验科室报告记录与标本记录（标本号）的对照。2、检验科室报告记录与医生工作站中医师查看的检验项目编码、名称、参考值可对照</w:t>
            </w:r>
          </w:p>
        </w:tc>
      </w:tr>
      <w:tr>
        <w:tblPrEx>
          <w:tblCellMar>
            <w:top w:w="0" w:type="dxa"/>
            <w:left w:w="108" w:type="dxa"/>
            <w:bottom w:w="0" w:type="dxa"/>
            <w:right w:w="108" w:type="dxa"/>
          </w:tblCellMar>
        </w:tblPrEx>
        <w:trPr>
          <w:cantSplit/>
          <w:trHeight w:val="96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01.04.4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（1）下达申请时可获得检查项目信息，如适应症、作用、注意事项等</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（2）申请能实时传送到医技科室</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（3）检查项目来自全院统一字典</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完整性：检查申请记录（申请单号、患者标识、检查项目编码、检查项目名称）</w:t>
            </w:r>
          </w:p>
        </w:tc>
      </w:tr>
      <w:tr>
        <w:tblPrEx>
          <w:tblCellMar>
            <w:top w:w="0" w:type="dxa"/>
            <w:left w:w="108" w:type="dxa"/>
            <w:bottom w:w="0" w:type="dxa"/>
            <w:right w:w="108" w:type="dxa"/>
          </w:tblCellMar>
        </w:tblPrEx>
        <w:trPr>
          <w:cantSplit/>
          <w:trHeight w:val="96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4</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01.04.5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（1）检查申请数据记录在统一管理机制中</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（2）开写检查申请时，可以浏览患者重要病历信息；</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完整性：检查申请记录（检查申请科室、检查目的或临床诊断、检查申请状态、检查部位（部分为空））</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整合性：医嘱记录与检查申请记录（检查申请项目编码、检查状态）可对照</w:t>
            </w:r>
          </w:p>
        </w:tc>
      </w:tr>
      <w:tr>
        <w:tblPrEx>
          <w:tblCellMar>
            <w:top w:w="0" w:type="dxa"/>
            <w:left w:w="108" w:type="dxa"/>
            <w:bottom w:w="0" w:type="dxa"/>
            <w:right w:w="108" w:type="dxa"/>
          </w:tblCellMar>
        </w:tblPrEx>
        <w:trPr>
          <w:cantSplit/>
          <w:trHeight w:val="168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5</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01.05.5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（1）检查报告来自全院统一医疗数据管理体系</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 xml:space="preserve">（2）查阅报告时，能够显示测量结果，对于有正常参考值的项目能显示参考范围及自动产生异常标记   </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 xml:space="preserve">（3）对于检查危急值，医师、护士在能够系统中看到(系统有该功能)  </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1、检查报告记录（报告科室、报告医师、检查诊断编码、审核医师编码）</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2、检查危急值记录（检查项目编码、通知对象、通知时间、处理人、处理记录内容）</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整合性：检查系统与病房检查申请系统中的项目编码、名称可对照</w:t>
            </w:r>
          </w:p>
        </w:tc>
      </w:tr>
      <w:tr>
        <w:tblPrEx>
          <w:tblCellMar>
            <w:top w:w="0" w:type="dxa"/>
            <w:left w:w="108" w:type="dxa"/>
            <w:bottom w:w="0" w:type="dxa"/>
            <w:right w:w="108" w:type="dxa"/>
          </w:tblCellMar>
        </w:tblPrEx>
        <w:trPr>
          <w:cantSplit/>
          <w:trHeight w:val="26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6</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01.06.5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（1）可自定义病历结构与格式，支持结构化病历的书写</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（2）提供插入检查检验结果功能</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 xml:space="preserve">（3）可按照任意病历结构化项目进行检索 </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（4）病历数据与医嘱等数据全院一体化管理</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 xml:space="preserve">（5）对于已由医师确认病历的所有修改，有完整的痕迹记录 </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（6）书写病历的时限可设置并能提示</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（7）电子病历内容应存储为通用格式，可被经过医院方授权的第三方调用；  （8）历史病历完成数字化处理并可查阅，并可与其他病历整合</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完整性：病历修改记录（修改医师、修改时间、修改后的病历内容）</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整合性：病历记录（章节标识）与质控记录中（有问题病历章节标识）可对照</w:t>
            </w:r>
          </w:p>
        </w:tc>
      </w:tr>
      <w:tr>
        <w:tblPrEx>
          <w:tblCellMar>
            <w:top w:w="0" w:type="dxa"/>
            <w:left w:w="108" w:type="dxa"/>
            <w:bottom w:w="0" w:type="dxa"/>
            <w:right w:w="108" w:type="dxa"/>
          </w:tblCellMar>
        </w:tblPrEx>
        <w:trPr>
          <w:cantSplit/>
          <w:trHeight w:val="120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7</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02.01.3</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病房护士</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xml:space="preserve">（1）从住院登记处接收患者基本信息，输入入院评估记录 </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（2）床位、病情信息、病历资料供其他部门共享</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（3）转科或出院的出科信息在系统中处理</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一致性： 病房患者信息（入院方式、护理级别）</w:t>
            </w:r>
          </w:p>
        </w:tc>
      </w:tr>
      <w:tr>
        <w:tblPrEx>
          <w:tblCellMar>
            <w:top w:w="0" w:type="dxa"/>
            <w:left w:w="108" w:type="dxa"/>
            <w:bottom w:w="0" w:type="dxa"/>
            <w:right w:w="108" w:type="dxa"/>
          </w:tblCellMar>
        </w:tblPrEx>
        <w:trPr>
          <w:cantSplit/>
          <w:trHeight w:val="120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8</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02.01.4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病房护士</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（1）患者入、出院、转科记录，与住院、医生站中的患者基本信息衔接。</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（2）可提示入科的基本处理流程或有可定义的入科处理模版提醒帮助护士完成常规的处理</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（3）护理级别可在系统明显位置显示</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1、病房患者信息（患者标识、患者姓名、患者性别、患者出生日期、护理级别、入科时间、床位号）</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2、护理评估记录（患者标识）</w:t>
            </w:r>
          </w:p>
        </w:tc>
      </w:tr>
      <w:tr>
        <w:tblPrEx>
          <w:tblCellMar>
            <w:top w:w="0" w:type="dxa"/>
            <w:left w:w="108" w:type="dxa"/>
            <w:bottom w:w="0" w:type="dxa"/>
            <w:right w:w="108" w:type="dxa"/>
          </w:tblCellMar>
        </w:tblPrEx>
        <w:trPr>
          <w:cantSplit/>
          <w:trHeight w:val="168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9</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02.01.5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病房护士</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（1）入院评估记录在医院统一医疗数据管理体系中管理</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（2）具有查询既往病历记录数据、检查检验结果等供评估时参考的功能</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完整性：护理评估记录（评估护士编码、评估护士姓名、评估项目名称）</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1、护理记录与医嘱执行（患者标识、护理级别）可对照；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2、病房患者信息（患者标识、住院病区）与住院登记记录（患者标识、住院病区）可对照</w:t>
            </w:r>
          </w:p>
        </w:tc>
      </w:tr>
      <w:tr>
        <w:tblPrEx>
          <w:tblCellMar>
            <w:top w:w="0" w:type="dxa"/>
            <w:left w:w="108" w:type="dxa"/>
            <w:bottom w:w="0" w:type="dxa"/>
            <w:right w:w="108" w:type="dxa"/>
          </w:tblCellMar>
        </w:tblPrEx>
        <w:trPr>
          <w:cantSplit/>
          <w:trHeight w:val="96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10</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02.02.5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病房护士</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（1）在执行中实时产生记录</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（2）全院统一管理医嘱、执行记录，构成统一电子病历内容</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（3）新医嘱和医嘱变更可及时通知护士</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完整性：医嘱执行记录（医嘱分类、执行护士编码、执行医嘱护士姓名）</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整合性：医嘱记录与护理执行记录对照（医嘱号、医嘱项目编码、药疗医嘱给药途径、药疗医嘱用法）</w:t>
            </w:r>
          </w:p>
        </w:tc>
      </w:tr>
      <w:tr>
        <w:tblPrEx>
          <w:tblCellMar>
            <w:top w:w="0" w:type="dxa"/>
            <w:left w:w="108" w:type="dxa"/>
            <w:bottom w:w="0" w:type="dxa"/>
            <w:right w:w="108" w:type="dxa"/>
          </w:tblCellMar>
        </w:tblPrEx>
        <w:trPr>
          <w:cantSplit/>
          <w:trHeight w:val="1680" w:hRule="atLeast"/>
          <w:tblHeader/>
          <w:jc w:val="center"/>
        </w:trPr>
        <w:tc>
          <w:tcPr>
            <w:tcW w:w="534" w:type="dxa"/>
            <w:tcBorders>
              <w:top w:val="nil"/>
              <w:left w:val="single" w:color="auto" w:sz="4" w:space="0"/>
              <w:bottom w:val="single" w:color="auto" w:sz="4" w:space="0"/>
              <w:right w:val="single" w:color="auto" w:sz="4" w:space="0"/>
            </w:tcBorders>
          </w:tcPr>
          <w:p>
            <w:pPr>
              <w:rPr>
                <w:rFonts w:hint="eastAsia" w:ascii="宋体" w:hAnsi="宋体" w:eastAsia="宋体" w:cs="宋体"/>
                <w:sz w:val="18"/>
                <w:szCs w:val="20"/>
              </w:rPr>
            </w:pPr>
            <w:r>
              <w:rPr>
                <w:rFonts w:hint="eastAsia" w:ascii="宋体" w:hAnsi="宋体" w:eastAsia="宋体" w:cs="宋体"/>
                <w:sz w:val="18"/>
                <w:szCs w:val="20"/>
              </w:rPr>
              <w:t>11</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02.03.3</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病房护士</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（1）操作中能够通过界面融合或调用其他系统方式查看其检查、检验、治疗等数据，本科室采集的体征记录可供其他部门共享</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（2）有危重患者护理观察记录、护理操作情况等记录  （有一个“经外周穿刺中心静脉导管置管术护理记录单”</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（3）护理记录信息可供医师查看</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一致性：护理记录（体征记录项目编码、体征记录项目名称）</w:t>
            </w:r>
          </w:p>
        </w:tc>
      </w:tr>
      <w:tr>
        <w:tblPrEx>
          <w:tblCellMar>
            <w:top w:w="0" w:type="dxa"/>
            <w:left w:w="108" w:type="dxa"/>
            <w:bottom w:w="0" w:type="dxa"/>
            <w:right w:w="108" w:type="dxa"/>
          </w:tblCellMar>
        </w:tblPrEx>
        <w:trPr>
          <w:cantSplit/>
          <w:trHeight w:val="1302"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12</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02.03.4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病房护士</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（1）可通过系统内嵌的方式获得检查、检验、治疗等数据</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（2）对危重患者有符合要求的护理观察记录、护理操作情况等记录并供全院共享</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完整性：护理记录（患者标识、护理项目、执行时间、执行人）</w:t>
            </w:r>
          </w:p>
        </w:tc>
      </w:tr>
      <w:tr>
        <w:tblPrEx>
          <w:tblCellMar>
            <w:top w:w="0" w:type="dxa"/>
            <w:left w:w="108" w:type="dxa"/>
            <w:bottom w:w="0" w:type="dxa"/>
            <w:right w:w="108" w:type="dxa"/>
          </w:tblCellMar>
        </w:tblPrEx>
        <w:trPr>
          <w:cantSplit/>
          <w:trHeight w:val="192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13</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02.03.5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病房护士</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（1）护理记录、体征记录数据在医院统一医疗数据管理体系中 （病房医师在写病历时可以引入患者生命体征）</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（2）生命体征、护理处置可通过移动设备自动导入相应记录单（移动护理）</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（3）有护理计划模版，护理记录数据可依据护理计划产生</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1、护理记录（护理计划时间、护理计划项目）</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2、护理记录（描述性护理项目）内容字符数大于合理数据量</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1、护理记录与病历记录（患者标识、住院标识）有对照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2、护理记录中观察记录项目，如：脉搏、心率、出入量、身高、血压等，与观察记录字典有对照</w:t>
            </w:r>
          </w:p>
        </w:tc>
      </w:tr>
      <w:tr>
        <w:tblPrEx>
          <w:tblCellMar>
            <w:top w:w="0" w:type="dxa"/>
            <w:left w:w="108" w:type="dxa"/>
            <w:bottom w:w="0" w:type="dxa"/>
            <w:right w:w="108" w:type="dxa"/>
          </w:tblCellMar>
        </w:tblPrEx>
        <w:trPr>
          <w:cantSplit/>
          <w:trHeight w:val="168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14</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03.01.5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（1）具有针对患者诊断、性别、历史处方、过敏史等进行合理用药、配伍禁忌、给药途径等综合自动检查功能并给出提示</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（2）对高危药品使用给予警示</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（3）支持医生处方开写权限控制</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（4）可依据诊断判断传染病情况，并通过系统上报医政管理部门</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完整性：处方记录（患者诊断、性别、年龄（或出生日期）</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整合性：处方记录（处方号、药品编码）与药房配药记录（处方号、药品编码）可对照</w:t>
            </w:r>
          </w:p>
        </w:tc>
      </w:tr>
      <w:tr>
        <w:tblPrEx>
          <w:tblCellMar>
            <w:top w:w="0" w:type="dxa"/>
            <w:left w:w="108" w:type="dxa"/>
            <w:bottom w:w="0" w:type="dxa"/>
            <w:right w:w="108" w:type="dxa"/>
          </w:tblCellMar>
        </w:tblPrEx>
        <w:trPr>
          <w:cantSplit/>
          <w:trHeight w:val="1099" w:hRule="atLeast"/>
          <w:tblHeader/>
          <w:jc w:val="center"/>
        </w:trPr>
        <w:tc>
          <w:tcPr>
            <w:tcW w:w="534" w:type="dxa"/>
            <w:tcBorders>
              <w:top w:val="nil"/>
              <w:left w:val="single" w:color="auto" w:sz="4" w:space="0"/>
              <w:bottom w:val="nil"/>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15</w:t>
            </w:r>
          </w:p>
        </w:tc>
        <w:tc>
          <w:tcPr>
            <w:tcW w:w="600"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03.02.4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（1）下达申请时可获得与项目关联的适应症、标本采集、检查意义等信息</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1920" w:hRule="atLeast"/>
          <w:tblHeader/>
          <w:jc w:val="center"/>
        </w:trPr>
        <w:tc>
          <w:tcPr>
            <w:tcW w:w="53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16</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03.03.5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（1）查阅报告时，对于多正常参考值的项目能够根据检验结果和诊断、性别、生理指标等自动给出正常结果的判断与提示</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（2）可根据历史检验结果绘制趋势图</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（3）对于危急检验结果，门诊医师能够在系统中看到</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1、检验报告记录（报告检验科室、审核医师）</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2、检验危急值记录（项目编码、危急值、通知时间、医生接收时间、处理医生、处理记录）</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1、检验科室报告记录与标本记录（标本号）的对照。2、检验科室报告记录与医生工作站中医师查看检验报告记录（检验项目编码、名称、参考值）可对照</w:t>
            </w:r>
          </w:p>
        </w:tc>
      </w:tr>
      <w:tr>
        <w:tblPrEx>
          <w:tblCellMar>
            <w:top w:w="0" w:type="dxa"/>
            <w:left w:w="108" w:type="dxa"/>
            <w:bottom w:w="0" w:type="dxa"/>
            <w:right w:w="108" w:type="dxa"/>
          </w:tblCellMar>
        </w:tblPrEx>
        <w:trPr>
          <w:cantSplit/>
          <w:trHeight w:val="138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17</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03.04.4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（1）下达申请时能获得其他部门的病情摘要、诊断，具有检查适应症、作用、注意事项查询功能</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（2）检查申请能实时传送给相关科室</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（3）检查项目来自全院统一字典</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完整性：检查申请记录（申请序号、患者标识、患者姓名、项目编码、项目名称、检查部位）</w:t>
            </w:r>
          </w:p>
        </w:tc>
      </w:tr>
      <w:tr>
        <w:tblPrEx>
          <w:tblCellMar>
            <w:top w:w="0" w:type="dxa"/>
            <w:left w:w="108" w:type="dxa"/>
            <w:bottom w:w="0" w:type="dxa"/>
            <w:right w:w="108" w:type="dxa"/>
          </w:tblCellMar>
        </w:tblPrEx>
        <w:trPr>
          <w:cantSplit/>
          <w:trHeight w:val="240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18</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03.06.5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（1）能提供插入检查检验结果功能</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（2）可对门诊病历内容检索</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（3）病历数据与处方、检查报告等数据全院一体化管理</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（4）历史病历（包括住院或门诊纸质病历）完成数字化、可查阅，并能够与其他病历整合</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（5）对于已提交的病历能自动记录、保存病历记录所有修改的痕迹</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（6）可依据诊断判断传染病情况，并通过系统上报医政管理部门</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1、门诊病历记录（就诊时间、医师签名）</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2、门诊病历记录中主诉、辅助检查、病史等描述性记录字符数&gt;50</w:t>
            </w:r>
          </w:p>
        </w:tc>
      </w:tr>
      <w:tr>
        <w:tblPrEx>
          <w:tblCellMar>
            <w:top w:w="0" w:type="dxa"/>
            <w:left w:w="108" w:type="dxa"/>
            <w:bottom w:w="0" w:type="dxa"/>
            <w:right w:w="108" w:type="dxa"/>
          </w:tblCellMar>
        </w:tblPrEx>
        <w:trPr>
          <w:cantSplit/>
          <w:trHeight w:val="120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19</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04.01.4</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检查科室</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（1）可根据检查内容生成注意事项（部分可以维护）</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（2）检查安排数据可被全院查询 （门诊无法查看）</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1、检查申请记录（申请单编号、患者标识、患者姓名、检查项目、部位、检查目的、申请医师、申请科室）</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2、检查预约记录（申请单编号、患者标识、患者姓名、检查项目、部位、检查安排时间）</w:t>
            </w:r>
          </w:p>
        </w:tc>
      </w:tr>
      <w:tr>
        <w:tblPrEx>
          <w:tblCellMar>
            <w:top w:w="0" w:type="dxa"/>
            <w:left w:w="108" w:type="dxa"/>
            <w:bottom w:w="0" w:type="dxa"/>
            <w:right w:w="108" w:type="dxa"/>
          </w:tblCellMar>
        </w:tblPrEx>
        <w:trPr>
          <w:cantSplit/>
          <w:trHeight w:val="14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20</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04.01.5</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检查科室</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（1）检查安排时间表能够提供全院共享，并能够及时进行同步</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（2）各临床科室能依据检查安排表进行预约，预约结果可全院共享</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（3）有自动安排检查时间的规则，能够提供默认的检查时间安排</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完整性：检查申请记录（诊断、特殊情况描述、执行科室、检查科室位置、申请时间）</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整合性：检查科室接收的检查申请记录与临床科室的检查检查记录（申请单编号、患者标识、检查项目、部位、申请医师、申请科室）</w:t>
            </w:r>
          </w:p>
        </w:tc>
      </w:tr>
      <w:tr>
        <w:tblPrEx>
          <w:tblCellMar>
            <w:top w:w="0" w:type="dxa"/>
            <w:left w:w="108" w:type="dxa"/>
            <w:bottom w:w="0" w:type="dxa"/>
            <w:right w:w="108" w:type="dxa"/>
          </w:tblCellMar>
        </w:tblPrEx>
        <w:trPr>
          <w:cantSplit/>
          <w:trHeight w:val="120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21</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05.02.4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检验科室</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（1）检验结果可供全院共享，可为医院其他系统提供检验数据接口</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（2）出现危急检验结果时能够向临床系统发出及时警示  （门诊）</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 xml:space="preserve">（3）对支持双向数据交换的仪器实现双向数据交换 </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完整性：检验结果记录（检验申请单号、检验时间、检验项目、项目结果）</w:t>
            </w:r>
          </w:p>
        </w:tc>
      </w:tr>
      <w:tr>
        <w:tblPrEx>
          <w:tblCellMar>
            <w:top w:w="0" w:type="dxa"/>
            <w:left w:w="108" w:type="dxa"/>
            <w:bottom w:w="0" w:type="dxa"/>
            <w:right w:w="108" w:type="dxa"/>
          </w:tblCellMar>
        </w:tblPrEx>
        <w:trPr>
          <w:cantSplit/>
          <w:trHeight w:val="240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22</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05.02.5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检验科室</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（1）检验结果作为医院整体医疗数据管理体系内容</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（2）检验结果可按项目进行结构化数据记录</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（3）有实验室内质控记录（检验科核实）</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1、检验结果记录（患者标识、正常参考值）</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2、检验危急值记录（检验项目、危急结果值、报告人、报告内容、报告时间）</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3、质控记录（质控时间、项目、结果、靶值）</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1、检验结果记录与检验申请记录（患者标识、检验单号）有对照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2、检验申请记录与检验结果记录（检验申请项目、检验报告项目）有对照</w:t>
            </w:r>
          </w:p>
        </w:tc>
      </w:tr>
      <w:tr>
        <w:tblPrEx>
          <w:tblCellMar>
            <w:top w:w="0" w:type="dxa"/>
            <w:left w:w="108" w:type="dxa"/>
            <w:bottom w:w="0" w:type="dxa"/>
            <w:right w:w="108" w:type="dxa"/>
          </w:tblCellMar>
        </w:tblPrEx>
        <w:trPr>
          <w:cantSplit/>
          <w:trHeight w:val="96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23</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07.03.4</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门诊药房</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（1）有统一的药品字典</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（2）可获得门诊、其他部门的处方数据</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 xml:space="preserve">（3）能够获得患者基本情况、体征、药敏数据 </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（4）有发药记录</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完整性：门诊配药记录（患者标识、姓名、药品编码、药品名称、给药途径、给药频率、发药数量）</w:t>
            </w:r>
          </w:p>
        </w:tc>
      </w:tr>
      <w:tr>
        <w:tblPrEx>
          <w:tblCellMar>
            <w:top w:w="0" w:type="dxa"/>
            <w:left w:w="108" w:type="dxa"/>
            <w:bottom w:w="0" w:type="dxa"/>
            <w:right w:w="108" w:type="dxa"/>
          </w:tblCellMar>
        </w:tblPrEx>
        <w:trPr>
          <w:cantSplit/>
          <w:trHeight w:val="14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24</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07.03.5</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门诊药房</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（1）能从全院统一医疗记录中获得门诊处方记录</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（3）有药品使用管理记录，支持药品分级管理</w:t>
            </w:r>
            <w:r>
              <w:rPr>
                <w:rFonts w:hint="eastAsia" w:ascii="宋体" w:hAnsi="宋体" w:eastAsia="宋体" w:cs="宋体"/>
                <w:color w:val="000000" w:themeColor="text1"/>
                <w:kern w:val="0"/>
                <w:sz w:val="18"/>
                <w:szCs w:val="20"/>
                <w14:textFill>
                  <w14:solidFill>
                    <w14:schemeClr w14:val="tx1"/>
                  </w14:solidFill>
                </w14:textFill>
              </w:rPr>
              <w:br w:type="textWrapping"/>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完整性：门诊配药记录（处方开立时间、诊断、剂量、剂量单位、处方医师、审核药师、审核时间）</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 药品调剂记录和门诊处方记录（患者标识、处方号、药品代码）</w:t>
            </w:r>
          </w:p>
        </w:tc>
      </w:tr>
      <w:tr>
        <w:tblPrEx>
          <w:tblCellMar>
            <w:top w:w="0" w:type="dxa"/>
            <w:left w:w="108" w:type="dxa"/>
            <w:bottom w:w="0" w:type="dxa"/>
            <w:right w:w="108" w:type="dxa"/>
          </w:tblCellMar>
        </w:tblPrEx>
        <w:trPr>
          <w:cantSplit/>
          <w:trHeight w:val="96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25</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07.04.4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病房药房</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（1）病房药品信息可供全院共享（字典、可供药目录、药品使用说明等）</w:t>
            </w:r>
            <w:r>
              <w:rPr>
                <w:rFonts w:hint="eastAsia" w:ascii="宋体" w:hAnsi="宋体" w:eastAsia="宋体" w:cs="宋体"/>
                <w:color w:val="000000" w:themeColor="text1"/>
                <w:kern w:val="0"/>
                <w:sz w:val="18"/>
                <w:szCs w:val="20"/>
                <w14:textFill>
                  <w14:solidFill>
                    <w14:schemeClr w14:val="tx1"/>
                  </w14:solidFill>
                </w14:textFill>
              </w:rPr>
              <w:br w:type="textWrapping"/>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完整性：药房配药记录（患者标识、姓名、药品编码、药品名称、给药途径、给药时间、发药数量）</w:t>
            </w:r>
          </w:p>
        </w:tc>
      </w:tr>
      <w:tr>
        <w:tblPrEx>
          <w:tblCellMar>
            <w:top w:w="0" w:type="dxa"/>
            <w:left w:w="108" w:type="dxa"/>
            <w:bottom w:w="0" w:type="dxa"/>
            <w:right w:w="108" w:type="dxa"/>
          </w:tblCellMar>
        </w:tblPrEx>
        <w:trPr>
          <w:cantSplit/>
          <w:trHeight w:val="120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26</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07.04.5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病房药房</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（1）药品准备与发药记录纳入全院医疗记录体系</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（2）可支持药品单品或单次包装并印刷条形码等机读核对标识</w:t>
            </w:r>
            <w:r>
              <w:rPr>
                <w:rFonts w:hint="eastAsia" w:ascii="宋体" w:hAnsi="宋体" w:eastAsia="宋体" w:cs="宋体"/>
                <w:color w:val="000000" w:themeColor="text1"/>
                <w:kern w:val="0"/>
                <w:sz w:val="18"/>
                <w:szCs w:val="20"/>
                <w14:textFill>
                  <w14:solidFill>
                    <w14:schemeClr w14:val="tx1"/>
                  </w14:solidFill>
                </w14:textFill>
              </w:rPr>
              <w:br w:type="textWrapping"/>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完整性：药房配药记录（医嘱执行时间、剂量、剂量单位、审核药师、审核时间）</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 药房配药记录与医嘱执行记录（患者标识、药品编码、给药途径）可对照</w:t>
            </w:r>
          </w:p>
        </w:tc>
      </w:tr>
      <w:tr>
        <w:tblPrEx>
          <w:tblCellMar>
            <w:top w:w="0" w:type="dxa"/>
            <w:left w:w="108" w:type="dxa"/>
            <w:bottom w:w="0" w:type="dxa"/>
            <w:right w:w="108" w:type="dxa"/>
          </w:tblCellMar>
        </w:tblPrEx>
        <w:trPr>
          <w:cantSplit/>
          <w:trHeight w:val="96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27</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08.01.4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病历管理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（1）具有查看各阶段病历完成时间的功能</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（2）质控结果通过信息系统与医师、管理部门交换</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（3）可实现过程质量控制（男：结构化病历，不允许录入月经史，但自由文本仍可录入，提交时无提示）</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 病案质控记录（患者标识、质控项目编码、质控时间）</w:t>
            </w:r>
          </w:p>
        </w:tc>
      </w:tr>
      <w:tr>
        <w:tblPrEx>
          <w:tblCellMar>
            <w:top w:w="0" w:type="dxa"/>
            <w:left w:w="108" w:type="dxa"/>
            <w:bottom w:w="0" w:type="dxa"/>
            <w:right w:w="108" w:type="dxa"/>
          </w:tblCellMar>
        </w:tblPrEx>
        <w:trPr>
          <w:cantSplit/>
          <w:trHeight w:val="2542"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28</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08.01.5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病历管理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（1）系统能够根据不同专科病历、诊断等，选择差别化的质量控制项目，进行病历质控</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（2）能够记录病历内容缺陷，并对时限、规定必须书写的病案内容进行自动判断处理，生成相应的质控记录</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（3）质控结果能反馈给相应的病历书写医师和管理者</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（4）出院时有对病案首页内容进行质量核查功能（质控办提供质控点）</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（5）能够记录各级责任医师</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完整性：病历质控记录（书写医师、质控人员编码、病历质控问题描述、病案评分、时限超时标志）</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整合性：病历质控记录与病历记录（患者标识、病历章节标识）可对照</w:t>
            </w:r>
          </w:p>
        </w:tc>
      </w:tr>
      <w:tr>
        <w:tblPrEx>
          <w:tblCellMar>
            <w:top w:w="0" w:type="dxa"/>
            <w:left w:w="108" w:type="dxa"/>
            <w:bottom w:w="0" w:type="dxa"/>
            <w:right w:w="108" w:type="dxa"/>
          </w:tblCellMar>
        </w:tblPrEx>
        <w:trPr>
          <w:cantSplit/>
          <w:trHeight w:val="192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29</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08.02.4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病历管理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（1）对重点电子病历数据（病案首页、住院医嘱、病程记录、门诊处方）有完善的分级访问控制，能够指定访问者及访问时间范围</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（2）能够根据医师的职称等因素分别授予不同的医疗处理能力权限，如对毒麻药品使用、对不同等级抗菌要求使用权限，对特殊检查申请的权限等</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（3）可支持医师借阅归档电子病历，借阅操作可记录，浏览内容跟踪</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无要求</w:t>
            </w:r>
          </w:p>
        </w:tc>
      </w:tr>
      <w:tr>
        <w:tblPrEx>
          <w:tblCellMar>
            <w:top w:w="0" w:type="dxa"/>
            <w:left w:w="108" w:type="dxa"/>
            <w:bottom w:w="0" w:type="dxa"/>
            <w:right w:w="108" w:type="dxa"/>
          </w:tblCellMar>
        </w:tblPrEx>
        <w:trPr>
          <w:cantSplit/>
          <w:trHeight w:val="96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30</w:t>
            </w:r>
          </w:p>
        </w:tc>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08.02.5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病历管理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（1）对所有电子病历数据具有完善的分级访问控制，能够指定访问者及访问时间范围</w:t>
            </w:r>
            <w:r>
              <w:rPr>
                <w:rFonts w:hint="eastAsia" w:ascii="宋体" w:hAnsi="宋体" w:eastAsia="宋体" w:cs="宋体"/>
                <w:color w:val="000000" w:themeColor="text1"/>
                <w:kern w:val="0"/>
                <w:sz w:val="18"/>
                <w:szCs w:val="20"/>
                <w14:textFill>
                  <w14:solidFill>
                    <w14:schemeClr w14:val="tx1"/>
                  </w14:solidFill>
                </w14:textFill>
              </w:rPr>
              <w:br w:type="textWrapping"/>
            </w:r>
            <w:r>
              <w:rPr>
                <w:rFonts w:hint="eastAsia" w:ascii="宋体" w:hAnsi="宋体" w:eastAsia="宋体" w:cs="宋体"/>
                <w:color w:val="000000" w:themeColor="text1"/>
                <w:kern w:val="0"/>
                <w:sz w:val="18"/>
                <w:szCs w:val="20"/>
                <w14:textFill>
                  <w14:solidFill>
                    <w14:schemeClr w14:val="tx1"/>
                  </w14:solidFill>
                </w14:textFill>
              </w:rPr>
              <w:t>（2）能够为医疗机构外的申请人提供电子病历的复制服务</w:t>
            </w:r>
          </w:p>
        </w:tc>
        <w:tc>
          <w:tcPr>
            <w:tcW w:w="3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无要求</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31</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06.01.3</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治疗信息处理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（1）治疗时间安排表可供其他部门查询共享</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48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32</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06.01.3</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治疗信息处理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（2）治疗申请、预约、记录数据能够与其他临床科室共享</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33</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06.01.4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治疗信息处理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（1）治疗安排信息可被全院查询</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34</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06.01.5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治疗信息处理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（3）治疗过程中的评估有记录</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35</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06.01.3</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治疗信息处理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（3）可提供治疗数据访问界面或程序供其他部门调用</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36</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06.01.4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治疗信息处理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（2）治疗记录数据可供全院访问，有数据交换接口</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37</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06.01.5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治疗信息处理</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（2）治疗记录纳入全院统一的医疗档案体系</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96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38</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10.01.5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信息利用</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形成临床数据仓库，有统一索引与规范数据格式，结构化的数据内容包括：住院病案首页、门诊就诊记录、医嘱记录、检查报告、检验报告、手术记录、治疗记录、体征记录</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39</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03.04.3</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门诊医生</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(1)下达申请时能够调用本科室产生的病情摘要</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40</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03.06.3</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门诊医生</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（1）书写病历记录可供其他部门共享</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48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41</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03.06.3</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门诊医生</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（2）书写病历时，可通过界面集成或调用其他系统模块方式查阅检查、检验信息</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72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42</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03.06.4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门诊医生</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（1）门诊病历记录可按照病历书写基本规范列出的基本内容项目进行结构化存储、有可定义的病历格式和选项</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24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43</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03.06.4</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门诊医生</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（2）门诊病历记录能够全院共享</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r>
        <w:tblPrEx>
          <w:tblCellMar>
            <w:top w:w="0" w:type="dxa"/>
            <w:left w:w="108" w:type="dxa"/>
            <w:bottom w:w="0" w:type="dxa"/>
            <w:right w:w="108" w:type="dxa"/>
          </w:tblCellMar>
        </w:tblPrEx>
        <w:trPr>
          <w:cantSplit/>
          <w:trHeight w:val="480" w:hRule="atLeast"/>
          <w:tblHeader/>
          <w:jc w:val="center"/>
        </w:trPr>
        <w:tc>
          <w:tcPr>
            <w:tcW w:w="534"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44</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07.02.5</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医疗保障</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（1）配血、血液使用记录、输血反应等数据纳入医院统一医疗记录系统</w:t>
            </w:r>
          </w:p>
        </w:tc>
        <w:tc>
          <w:tcPr>
            <w:tcW w:w="300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 w:val="18"/>
                <w:szCs w:val="20"/>
                <w14:textFill>
                  <w14:solidFill>
                    <w14:schemeClr w14:val="tx1"/>
                  </w14:solidFill>
                </w14:textFill>
              </w:rPr>
            </w:pPr>
            <w:r>
              <w:rPr>
                <w:rFonts w:hint="eastAsia" w:ascii="宋体" w:hAnsi="宋体" w:eastAsia="宋体" w:cs="宋体"/>
                <w:color w:val="000000" w:themeColor="text1"/>
                <w:kern w:val="0"/>
                <w:sz w:val="18"/>
                <w:szCs w:val="20"/>
                <w14:textFill>
                  <w14:solidFill>
                    <w14:schemeClr w14:val="tx1"/>
                  </w14:solidFill>
                </w14:textFill>
              </w:rPr>
              <w:t>　</w:t>
            </w:r>
          </w:p>
        </w:tc>
      </w:tr>
    </w:tbl>
    <w:p>
      <w:pPr>
        <w:numPr>
          <w:ilvl w:val="0"/>
          <w:numId w:val="0"/>
        </w:numPr>
        <w:ind w:left="420" w:leftChars="0"/>
        <w:rPr>
          <w:rFonts w:hint="eastAsia" w:ascii="宋体" w:hAnsi="宋体" w:eastAsia="宋体" w:cs="宋体"/>
          <w:b/>
          <w:bCs/>
          <w:sz w:val="28"/>
          <w:szCs w:val="36"/>
        </w:rPr>
        <w:sectPr>
          <w:footerReference r:id="rId3" w:type="default"/>
          <w:pgSz w:w="11906" w:h="16838"/>
          <w:pgMar w:top="1440" w:right="1800" w:bottom="1440" w:left="1800" w:header="851" w:footer="992" w:gutter="0"/>
          <w:pgNumType w:fmt="decimal"/>
          <w:cols w:space="425" w:num="1"/>
          <w:docGrid w:type="lines" w:linePitch="312" w:charSpace="0"/>
        </w:sectPr>
      </w:pPr>
    </w:p>
    <w:p>
      <w:pPr>
        <w:numPr>
          <w:ilvl w:val="0"/>
          <w:numId w:val="3"/>
        </w:numPr>
        <w:ind w:left="0" w:leftChars="0" w:firstLine="420" w:firstLineChars="0"/>
        <w:rPr>
          <w:rFonts w:hint="eastAsia" w:ascii="宋体" w:hAnsi="宋体" w:eastAsia="宋体" w:cs="宋体"/>
          <w:b/>
          <w:bCs/>
          <w:sz w:val="28"/>
          <w:szCs w:val="36"/>
        </w:rPr>
      </w:pPr>
      <w:r>
        <w:rPr>
          <w:rFonts w:hint="eastAsia" w:ascii="宋体" w:hAnsi="宋体" w:eastAsia="宋体" w:cs="宋体"/>
          <w:b/>
          <w:bCs/>
          <w:sz w:val="28"/>
          <w:szCs w:val="36"/>
        </w:rPr>
        <w:t>医院数据质量核查与改造服务</w:t>
      </w:r>
      <w:bookmarkStart w:id="4" w:name="_GoBack"/>
      <w:bookmarkEnd w:id="4"/>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依据国家电子病历系统功能应用水平分级评价（</w:t>
      </w:r>
      <w:r>
        <w:rPr>
          <w:rFonts w:hint="eastAsia" w:ascii="宋体" w:hAnsi="宋体" w:eastAsia="宋体" w:cs="宋体"/>
          <w:color w:val="000000" w:themeColor="text1"/>
          <w:sz w:val="24"/>
          <w:szCs w:val="24"/>
          <w:lang w:eastAsia="zh-CN"/>
          <w14:textFill>
            <w14:solidFill>
              <w14:schemeClr w14:val="tx1"/>
            </w14:solidFill>
          </w14:textFill>
        </w:rPr>
        <w:t>五级</w:t>
      </w:r>
      <w:r>
        <w:rPr>
          <w:rFonts w:hint="eastAsia" w:ascii="宋体" w:hAnsi="宋体" w:eastAsia="宋体" w:cs="宋体"/>
          <w:color w:val="000000" w:themeColor="text1"/>
          <w:sz w:val="24"/>
          <w:szCs w:val="24"/>
          <w14:textFill>
            <w14:solidFill>
              <w14:schemeClr w14:val="tx1"/>
            </w14:solidFill>
          </w14:textFill>
        </w:rPr>
        <w:t>）要求，对数据质量进行数据治理，保障现场查验的数据质量核查工作顺利完成。</w:t>
      </w:r>
    </w:p>
    <w:p>
      <w:p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投标人提供的医院数据质量核查系统（电子病历系统功能应用水平分级评价（</w:t>
      </w:r>
      <w:r>
        <w:rPr>
          <w:rFonts w:hint="eastAsia" w:ascii="宋体" w:hAnsi="宋体" w:eastAsia="宋体" w:cs="宋体"/>
          <w:b/>
          <w:color w:val="000000" w:themeColor="text1"/>
          <w:sz w:val="24"/>
          <w:szCs w:val="24"/>
          <w:lang w:eastAsia="zh-CN"/>
          <w14:textFill>
            <w14:solidFill>
              <w14:schemeClr w14:val="tx1"/>
            </w14:solidFill>
          </w14:textFill>
        </w:rPr>
        <w:t>五级</w:t>
      </w:r>
      <w:r>
        <w:rPr>
          <w:rFonts w:hint="eastAsia" w:ascii="宋体" w:hAnsi="宋体" w:eastAsia="宋体" w:cs="宋体"/>
          <w:b/>
          <w:color w:val="000000" w:themeColor="text1"/>
          <w:sz w:val="24"/>
          <w:szCs w:val="24"/>
          <w14:textFill>
            <w14:solidFill>
              <w14:schemeClr w14:val="tx1"/>
            </w14:solidFill>
          </w14:textFill>
        </w:rPr>
        <w:t>）标准）需满足以下功能要求：</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通过医院数据质量核查系统，满足医院可视化的核查国家电子病历系统功能应用水平分级评价（</w:t>
      </w:r>
      <w:r>
        <w:rPr>
          <w:rFonts w:hint="eastAsia" w:ascii="宋体" w:hAnsi="宋体" w:eastAsia="宋体" w:cs="宋体"/>
          <w:color w:val="000000" w:themeColor="text1"/>
          <w:sz w:val="24"/>
          <w:szCs w:val="24"/>
          <w:lang w:eastAsia="zh-CN"/>
          <w14:textFill>
            <w14:solidFill>
              <w14:schemeClr w14:val="tx1"/>
            </w14:solidFill>
          </w14:textFill>
        </w:rPr>
        <w:t>五级</w:t>
      </w:r>
      <w:r>
        <w:rPr>
          <w:rFonts w:hint="eastAsia" w:ascii="宋体" w:hAnsi="宋体" w:eastAsia="宋体" w:cs="宋体"/>
          <w:color w:val="000000" w:themeColor="text1"/>
          <w:sz w:val="24"/>
          <w:szCs w:val="24"/>
          <w14:textFill>
            <w14:solidFill>
              <w14:schemeClr w14:val="tx1"/>
            </w14:solidFill>
          </w14:textFill>
        </w:rPr>
        <w:t>）的数据质量评价需求。本次招标要求实现以下功能：</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提供医院数据质量核查服务，数据质量治理服务。根据医院在线电子病历数据出具评级数据质量总览报告及考核项分项报告，以供评级工作使用。</w:t>
      </w:r>
    </w:p>
    <w:p>
      <w:pPr>
        <w:pStyle w:val="19"/>
        <w:numPr>
          <w:ilvl w:val="0"/>
          <w:numId w:val="4"/>
        </w:numPr>
        <w:spacing w:line="360" w:lineRule="auto"/>
        <w:ind w:left="0" w:leftChars="0"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数据质量管理</w:t>
      </w:r>
    </w:p>
    <w:p>
      <w:pPr>
        <w:pStyle w:val="19"/>
        <w:numPr>
          <w:ilvl w:val="0"/>
          <w:numId w:val="5"/>
        </w:numPr>
        <w:spacing w:line="360" w:lineRule="auto"/>
        <w:ind w:firstLineChars="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数据质量总览</w:t>
      </w:r>
    </w:p>
    <w:p>
      <w:pPr>
        <w:pStyle w:val="19"/>
        <w:numPr>
          <w:ilvl w:val="0"/>
          <w:numId w:val="6"/>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展示报告列表中最新的全项目报告总览。包括内容为：</w:t>
      </w:r>
    </w:p>
    <w:p>
      <w:pPr>
        <w:pStyle w:val="19"/>
        <w:numPr>
          <w:ilvl w:val="0"/>
          <w:numId w:val="6"/>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申报级别以及目前达到的级别</w:t>
      </w:r>
    </w:p>
    <w:p>
      <w:pPr>
        <w:pStyle w:val="19"/>
        <w:numPr>
          <w:ilvl w:val="0"/>
          <w:numId w:val="6"/>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基本项达到的评级标准的个数统计</w:t>
      </w:r>
    </w:p>
    <w:p>
      <w:pPr>
        <w:pStyle w:val="19"/>
        <w:numPr>
          <w:ilvl w:val="0"/>
          <w:numId w:val="6"/>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选择项达到评级标准的个数统计</w:t>
      </w:r>
    </w:p>
    <w:p>
      <w:pPr>
        <w:pStyle w:val="19"/>
        <w:numPr>
          <w:ilvl w:val="0"/>
          <w:numId w:val="6"/>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规则总数：数据来源系统总数；</w:t>
      </w:r>
    </w:p>
    <w:p>
      <w:pPr>
        <w:pStyle w:val="19"/>
        <w:numPr>
          <w:ilvl w:val="0"/>
          <w:numId w:val="6"/>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每个考察方面分别达到评级标准的数量统计</w:t>
      </w:r>
    </w:p>
    <w:p>
      <w:pPr>
        <w:pStyle w:val="19"/>
        <w:numPr>
          <w:ilvl w:val="0"/>
          <w:numId w:val="6"/>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问题数据来源角色的统计展示。</w:t>
      </w:r>
    </w:p>
    <w:p>
      <w:pPr>
        <w:pStyle w:val="20"/>
        <w:numPr>
          <w:ilvl w:val="0"/>
          <w:numId w:val="5"/>
        </w:numPr>
        <w:adjustRightInd/>
        <w:spacing w:line="360" w:lineRule="auto"/>
        <w:ind w:left="1320" w:hanging="753" w:firstLineChars="0"/>
        <w:jc w:val="both"/>
        <w:textAlignment w:val="auto"/>
        <w:rPr>
          <w:rFonts w:hint="eastAsia" w:ascii="宋体" w:hAnsi="宋体" w:eastAsia="宋体" w:cs="宋体"/>
          <w:b/>
          <w:color w:val="000000" w:themeColor="text1"/>
          <w:szCs w:val="22"/>
          <w14:textFill>
            <w14:solidFill>
              <w14:schemeClr w14:val="tx1"/>
            </w14:solidFill>
          </w14:textFill>
        </w:rPr>
      </w:pPr>
      <w:r>
        <w:rPr>
          <w:rFonts w:hint="eastAsia" w:ascii="宋体" w:hAnsi="宋体" w:eastAsia="宋体" w:cs="宋体"/>
          <w:b/>
          <w:color w:val="000000" w:themeColor="text1"/>
          <w:kern w:val="2"/>
          <w:szCs w:val="22"/>
          <w:lang w:val="en-US"/>
          <w14:textFill>
            <w14:solidFill>
              <w14:schemeClr w14:val="tx1"/>
            </w14:solidFill>
          </w14:textFill>
        </w:rPr>
        <w:t>审核数据质量</w:t>
      </w:r>
    </w:p>
    <w:p>
      <w:pPr>
        <w:pStyle w:val="20"/>
        <w:numPr>
          <w:ilvl w:val="0"/>
          <w:numId w:val="7"/>
        </w:numPr>
        <w:snapToGrid w:val="0"/>
        <w:spacing w:line="360" w:lineRule="auto"/>
        <w:ind w:left="0" w:leftChars="0" w:firstLine="480"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kern w:val="2"/>
          <w:szCs w:val="24"/>
          <w:lang w:val="en-US"/>
          <w14:textFill>
            <w14:solidFill>
              <w14:schemeClr w14:val="tx1"/>
            </w14:solidFill>
          </w14:textFill>
        </w:rPr>
        <w:t>标准得分差异，根据得分进行系统重点改造或者数据优化</w:t>
      </w:r>
    </w:p>
    <w:p>
      <w:pPr>
        <w:pStyle w:val="20"/>
        <w:numPr>
          <w:ilvl w:val="0"/>
          <w:numId w:val="7"/>
        </w:numPr>
        <w:snapToGrid w:val="0"/>
        <w:spacing w:line="360" w:lineRule="auto"/>
        <w:ind w:left="0" w:leftChars="0" w:firstLine="480"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kern w:val="2"/>
          <w:szCs w:val="24"/>
          <w:lang w:val="en-US"/>
          <w14:textFill>
            <w14:solidFill>
              <w14:schemeClr w14:val="tx1"/>
            </w14:solidFill>
          </w14:textFill>
        </w:rPr>
        <w:t>统计数量逻辑关系合理性</w:t>
      </w:r>
    </w:p>
    <w:p>
      <w:pPr>
        <w:pStyle w:val="19"/>
        <w:numPr>
          <w:ilvl w:val="0"/>
          <w:numId w:val="5"/>
        </w:numPr>
        <w:spacing w:line="360" w:lineRule="auto"/>
        <w:ind w:firstLineChars="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数据质量报告</w:t>
      </w:r>
    </w:p>
    <w:p>
      <w:pPr>
        <w:pStyle w:val="19"/>
        <w:numPr>
          <w:ilvl w:val="0"/>
          <w:numId w:val="8"/>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系统每周自动运行一次近三个月的数据并生成相应的数据质量报告，报告默认按照生成时间倒序排列在页面中展示</w:t>
      </w:r>
    </w:p>
    <w:p>
      <w:pPr>
        <w:pStyle w:val="19"/>
        <w:numPr>
          <w:ilvl w:val="0"/>
          <w:numId w:val="8"/>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可通过数据的“报告详情”查看详细报告。</w:t>
      </w:r>
    </w:p>
    <w:p>
      <w:pPr>
        <w:pStyle w:val="19"/>
        <w:numPr>
          <w:ilvl w:val="0"/>
          <w:numId w:val="8"/>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页面支持报告生成时间、名称、运行方式、运行状态4个条件进行检索。</w:t>
      </w:r>
    </w:p>
    <w:p>
      <w:pPr>
        <w:pStyle w:val="19"/>
        <w:numPr>
          <w:ilvl w:val="0"/>
          <w:numId w:val="8"/>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支持人工运行报告，可选择运行时间范围、登记、评价角色、评价项目来生成相应的数据质量报告。</w:t>
      </w:r>
    </w:p>
    <w:p>
      <w:pPr>
        <w:pStyle w:val="19"/>
        <w:numPr>
          <w:ilvl w:val="0"/>
          <w:numId w:val="4"/>
        </w:numPr>
        <w:spacing w:line="360" w:lineRule="auto"/>
        <w:ind w:left="0" w:leftChars="0"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数据质量治理</w:t>
      </w:r>
    </w:p>
    <w:p>
      <w:pPr>
        <w:pStyle w:val="19"/>
        <w:numPr>
          <w:ilvl w:val="0"/>
          <w:numId w:val="9"/>
        </w:numPr>
        <w:adjustRightInd w:val="0"/>
        <w:snapToGrid w:val="0"/>
        <w:spacing w:line="360" w:lineRule="auto"/>
        <w:ind w:left="0" w:leftChars="0" w:firstLine="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根据数据质量报告，根据电子病历</w:t>
      </w:r>
      <w:r>
        <w:rPr>
          <w:rFonts w:hint="eastAsia" w:ascii="宋体" w:hAnsi="宋体" w:eastAsia="宋体" w:cs="宋体"/>
          <w:color w:val="000000" w:themeColor="text1"/>
          <w:sz w:val="24"/>
          <w:szCs w:val="24"/>
          <w:lang w:eastAsia="zh-CN"/>
          <w14:textFill>
            <w14:solidFill>
              <w14:schemeClr w14:val="tx1"/>
            </w14:solidFill>
          </w14:textFill>
        </w:rPr>
        <w:t>五级</w:t>
      </w:r>
      <w:r>
        <w:rPr>
          <w:rFonts w:hint="eastAsia" w:ascii="宋体" w:hAnsi="宋体" w:eastAsia="宋体" w:cs="宋体"/>
          <w:color w:val="000000" w:themeColor="text1"/>
          <w:sz w:val="24"/>
          <w:szCs w:val="24"/>
          <w14:textFill>
            <w14:solidFill>
              <w14:schemeClr w14:val="tx1"/>
            </w14:solidFill>
          </w14:textFill>
        </w:rPr>
        <w:t>数据质量要求，提供整体整改方案（含测评相关的子系统）。</w:t>
      </w:r>
    </w:p>
    <w:p>
      <w:pPr>
        <w:pStyle w:val="19"/>
        <w:numPr>
          <w:ilvl w:val="0"/>
          <w:numId w:val="9"/>
        </w:numPr>
        <w:adjustRightInd w:val="0"/>
        <w:snapToGrid w:val="0"/>
        <w:spacing w:line="360" w:lineRule="auto"/>
        <w:ind w:left="0" w:leftChars="0" w:firstLine="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改造方案经招标人同意后，对相关HIS系统进行改造</w:t>
      </w:r>
    </w:p>
    <w:p>
      <w:pPr>
        <w:numPr>
          <w:ilvl w:val="0"/>
          <w:numId w:val="3"/>
        </w:numPr>
        <w:ind w:left="0" w:leftChars="0" w:firstLine="420" w:firstLineChars="0"/>
        <w:rPr>
          <w:rFonts w:hint="eastAsia" w:ascii="宋体" w:hAnsi="宋体" w:eastAsia="宋体" w:cs="宋体"/>
          <w:b/>
          <w:bCs/>
          <w:sz w:val="28"/>
          <w:szCs w:val="36"/>
        </w:rPr>
      </w:pPr>
      <w:r>
        <w:rPr>
          <w:rFonts w:hint="eastAsia" w:ascii="宋体" w:hAnsi="宋体" w:eastAsia="宋体" w:cs="宋体"/>
          <w:b/>
          <w:bCs/>
          <w:sz w:val="28"/>
          <w:szCs w:val="36"/>
        </w:rPr>
        <w:t>评级咨询、调研与对标</w:t>
      </w:r>
      <w:r>
        <w:rPr>
          <w:rFonts w:hint="eastAsia" w:ascii="宋体" w:hAnsi="宋体" w:eastAsia="宋体" w:cs="宋体"/>
          <w:b/>
          <w:bCs/>
          <w:sz w:val="28"/>
          <w:szCs w:val="36"/>
          <w:lang w:eastAsia="zh-CN"/>
        </w:rPr>
        <w:t>、</w:t>
      </w:r>
      <w:r>
        <w:rPr>
          <w:rFonts w:hint="eastAsia" w:ascii="宋体" w:hAnsi="宋体" w:eastAsia="宋体" w:cs="宋体"/>
          <w:b/>
          <w:bCs/>
          <w:sz w:val="28"/>
          <w:szCs w:val="36"/>
        </w:rPr>
        <w:t>规划服务</w:t>
      </w: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投标人提供的国家电子病历系统功能应用水平分级评价（</w:t>
      </w:r>
      <w:r>
        <w:rPr>
          <w:rFonts w:hint="eastAsia" w:ascii="宋体" w:hAnsi="宋体" w:eastAsia="宋体" w:cs="宋体"/>
          <w:b/>
          <w:color w:val="000000" w:themeColor="text1"/>
          <w:sz w:val="24"/>
          <w:lang w:eastAsia="zh-CN"/>
          <w14:textFill>
            <w14:solidFill>
              <w14:schemeClr w14:val="tx1"/>
            </w14:solidFill>
          </w14:textFill>
        </w:rPr>
        <w:t>五级</w:t>
      </w:r>
      <w:r>
        <w:rPr>
          <w:rFonts w:hint="eastAsia" w:ascii="宋体" w:hAnsi="宋体" w:eastAsia="宋体" w:cs="宋体"/>
          <w:b/>
          <w:color w:val="000000" w:themeColor="text1"/>
          <w:sz w:val="24"/>
          <w14:textFill>
            <w14:solidFill>
              <w14:schemeClr w14:val="tx1"/>
            </w14:solidFill>
          </w14:textFill>
        </w:rPr>
        <w:t>）咨询、对标等服务需满足以下要求：</w:t>
      </w:r>
    </w:p>
    <w:p>
      <w:pPr>
        <w:pStyle w:val="19"/>
        <w:numPr>
          <w:ilvl w:val="0"/>
          <w:numId w:val="10"/>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标准培训：对医院信息科、医务部和护理部门进行评审指标解读培训，包括评审标准解读、评级准备过程、评级重点事项等内容的讲解，旨在理解标准和评审过程，统一相关人员思想。</w:t>
      </w:r>
    </w:p>
    <w:p>
      <w:pPr>
        <w:pStyle w:val="19"/>
        <w:numPr>
          <w:ilvl w:val="0"/>
          <w:numId w:val="10"/>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规划方案：对照电子病历应用水平评估标准，从医院信息系统功能组成、应用范围和数据质量三个方面进行对标分析，分析信息系统的改造需求点，制定电子病历评审整体改造方案和系统改造方案。</w:t>
      </w:r>
    </w:p>
    <w:p>
      <w:pPr>
        <w:pStyle w:val="19"/>
        <w:numPr>
          <w:ilvl w:val="0"/>
          <w:numId w:val="10"/>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评级改造管理：对系统改造过程涉及的对标差异需求说明、系统改造方案细化、方案沟通和交流、系统改造结果验证、协助上线、上线效果评价，咨询项目组成员提供评级改造全过程咨询与督导建议。</w:t>
      </w:r>
    </w:p>
    <w:p>
      <w:pPr>
        <w:pStyle w:val="19"/>
        <w:numPr>
          <w:ilvl w:val="0"/>
          <w:numId w:val="10"/>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数据上报：提供电子病历评级在数据上报阶段的指导工作。</w:t>
      </w:r>
    </w:p>
    <w:p>
      <w:pPr>
        <w:pStyle w:val="19"/>
        <w:numPr>
          <w:ilvl w:val="0"/>
          <w:numId w:val="10"/>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实证材料：在文审材料的基本项目、选择项目和数据质量实证材料的编制过程提供技术支持，包括实证材料要求解读、实证材料准备和最后提交招标人定稿。</w:t>
      </w:r>
    </w:p>
    <w:p>
      <w:pPr>
        <w:pStyle w:val="19"/>
        <w:numPr>
          <w:ilvl w:val="0"/>
          <w:numId w:val="10"/>
        </w:numPr>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现场检查：制定参评人员迎评脚本，对参评人员进行集中培训答疑，进行两次的现场科室模拟演练，协助医护技人员选择实例，验证迎检准备情况，为电子病历系统功能应用水平分级评价（</w:t>
      </w:r>
      <w:r>
        <w:rPr>
          <w:rFonts w:hint="eastAsia" w:ascii="宋体" w:hAnsi="宋体" w:eastAsia="宋体" w:cs="宋体"/>
          <w:color w:val="000000" w:themeColor="text1"/>
          <w:sz w:val="24"/>
          <w:szCs w:val="24"/>
          <w:lang w:eastAsia="zh-CN"/>
          <w14:textFill>
            <w14:solidFill>
              <w14:schemeClr w14:val="tx1"/>
            </w14:solidFill>
          </w14:textFill>
        </w:rPr>
        <w:t>五级</w:t>
      </w:r>
      <w:r>
        <w:rPr>
          <w:rFonts w:hint="eastAsia" w:ascii="宋体" w:hAnsi="宋体" w:eastAsia="宋体" w:cs="宋体"/>
          <w:color w:val="000000" w:themeColor="text1"/>
          <w:sz w:val="24"/>
          <w:szCs w:val="24"/>
          <w14:textFill>
            <w14:solidFill>
              <w14:schemeClr w14:val="tx1"/>
            </w14:solidFill>
          </w14:textFill>
        </w:rPr>
        <w:t>）现场检查提供支持保障。</w:t>
      </w:r>
    </w:p>
    <w:p>
      <w:pPr>
        <w:numPr>
          <w:ilvl w:val="0"/>
          <w:numId w:val="3"/>
        </w:numPr>
        <w:ind w:left="0" w:leftChars="0" w:firstLine="420" w:firstLineChars="0"/>
        <w:rPr>
          <w:rFonts w:hint="eastAsia" w:ascii="宋体" w:hAnsi="宋体" w:eastAsia="宋体" w:cs="宋体"/>
          <w:b/>
          <w:bCs/>
          <w:sz w:val="28"/>
          <w:szCs w:val="36"/>
        </w:rPr>
      </w:pPr>
      <w:r>
        <w:rPr>
          <w:rFonts w:hint="eastAsia" w:ascii="宋体" w:hAnsi="宋体" w:eastAsia="宋体" w:cs="宋体"/>
          <w:b/>
          <w:bCs/>
          <w:sz w:val="28"/>
          <w:szCs w:val="36"/>
        </w:rPr>
        <w:t>实施及验收要求</w:t>
      </w:r>
    </w:p>
    <w:p>
      <w:pPr>
        <w:numPr>
          <w:ilvl w:val="0"/>
          <w:numId w:val="11"/>
        </w:numPr>
        <w:spacing w:line="360" w:lineRule="auto"/>
        <w:ind w:left="0" w:leftChars="0"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实施计划：投标人应根据项目建设目标和建设内容，提出详细的实施计划。其内容主要包括项目的组织机构、人员及职责、工作内容、进度安排、培训方案、风险与质量控制等。</w:t>
      </w:r>
    </w:p>
    <w:p>
      <w:pPr>
        <w:numPr>
          <w:ilvl w:val="0"/>
          <w:numId w:val="11"/>
        </w:numPr>
        <w:spacing w:line="360" w:lineRule="auto"/>
        <w:ind w:left="0" w:leftChars="0"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交货、安装地点：用户指定。</w:t>
      </w:r>
    </w:p>
    <w:p>
      <w:pPr>
        <w:numPr>
          <w:ilvl w:val="0"/>
          <w:numId w:val="11"/>
        </w:numPr>
        <w:spacing w:line="360" w:lineRule="auto"/>
        <w:ind w:left="0" w:leftChars="0"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验收：</w:t>
      </w:r>
      <w:r>
        <w:rPr>
          <w:rFonts w:hint="eastAsia" w:ascii="宋体" w:hAnsi="宋体" w:eastAsia="宋体" w:cs="宋体"/>
          <w:color w:val="000000" w:themeColor="text1"/>
          <w:sz w:val="24"/>
          <w:szCs w:val="24"/>
          <w14:textFill>
            <w14:solidFill>
              <w14:schemeClr w14:val="tx1"/>
            </w14:solidFill>
          </w14:textFill>
        </w:rPr>
        <w:t>投标人协助招标人通过国家电子病历系统功能应用水平分级评价（</w:t>
      </w:r>
      <w:r>
        <w:rPr>
          <w:rFonts w:hint="eastAsia" w:ascii="宋体" w:hAnsi="宋体" w:eastAsia="宋体" w:cs="宋体"/>
          <w:color w:val="000000" w:themeColor="text1"/>
          <w:sz w:val="24"/>
          <w:szCs w:val="24"/>
          <w:lang w:eastAsia="zh-CN"/>
          <w14:textFill>
            <w14:solidFill>
              <w14:schemeClr w14:val="tx1"/>
            </w14:solidFill>
          </w14:textFill>
        </w:rPr>
        <w:t>五级</w:t>
      </w:r>
      <w:r>
        <w:rPr>
          <w:rFonts w:hint="eastAsia" w:ascii="宋体" w:hAnsi="宋体" w:eastAsia="宋体" w:cs="宋体"/>
          <w:color w:val="000000" w:themeColor="text1"/>
          <w:sz w:val="24"/>
          <w:szCs w:val="24"/>
          <w14:textFill>
            <w14:solidFill>
              <w14:schemeClr w14:val="tx1"/>
            </w14:solidFill>
          </w14:textFill>
        </w:rPr>
        <w:t>）评审后</w:t>
      </w:r>
      <w:r>
        <w:rPr>
          <w:rFonts w:hint="eastAsia" w:ascii="宋体" w:hAnsi="宋体" w:eastAsia="宋体" w:cs="宋体"/>
          <w:color w:val="000000" w:themeColor="text1"/>
          <w:sz w:val="24"/>
          <w14:textFill>
            <w14:solidFill>
              <w14:schemeClr w14:val="tx1"/>
            </w14:solidFill>
          </w14:textFill>
        </w:rPr>
        <w:t>，由甲乙双方共同组织验收。</w:t>
      </w:r>
    </w:p>
    <w:p>
      <w:pPr>
        <w:numPr>
          <w:ilvl w:val="0"/>
          <w:numId w:val="11"/>
        </w:numPr>
        <w:spacing w:line="360" w:lineRule="auto"/>
        <w:ind w:left="0" w:leftChars="0"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验收交付文档</w:t>
      </w:r>
    </w:p>
    <w:p>
      <w:pPr>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360" w:lineRule="auto"/>
        <w:ind w:left="6" w:leftChars="0" w:firstLine="635"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电子病历评级（</w:t>
      </w:r>
      <w:r>
        <w:rPr>
          <w:rFonts w:hint="eastAsia" w:ascii="宋体" w:hAnsi="宋体" w:eastAsia="宋体" w:cs="宋体"/>
          <w:color w:val="000000" w:themeColor="text1"/>
          <w:sz w:val="24"/>
          <w:lang w:eastAsia="zh-CN"/>
          <w14:textFill>
            <w14:solidFill>
              <w14:schemeClr w14:val="tx1"/>
            </w14:solidFill>
          </w14:textFill>
        </w:rPr>
        <w:t>五级</w:t>
      </w:r>
      <w:r>
        <w:rPr>
          <w:rFonts w:hint="eastAsia" w:ascii="宋体" w:hAnsi="宋体" w:eastAsia="宋体" w:cs="宋体"/>
          <w:color w:val="000000" w:themeColor="text1"/>
          <w:sz w:val="24"/>
          <w14:textFill>
            <w14:solidFill>
              <w14:schemeClr w14:val="tx1"/>
            </w14:solidFill>
          </w14:textFill>
        </w:rPr>
        <w:t>）项目管理计划</w:t>
      </w:r>
    </w:p>
    <w:p>
      <w:pPr>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360" w:lineRule="auto"/>
        <w:ind w:left="6" w:leftChars="0" w:firstLine="635"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评级改造方案</w:t>
      </w:r>
    </w:p>
    <w:p>
      <w:pPr>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360" w:lineRule="auto"/>
        <w:ind w:left="6" w:leftChars="0" w:firstLine="635"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项目进度跟踪表</w:t>
      </w:r>
    </w:p>
    <w:p>
      <w:pPr>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360" w:lineRule="auto"/>
        <w:ind w:left="6" w:leftChars="0" w:firstLine="635"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文审材料</w:t>
      </w:r>
    </w:p>
    <w:p>
      <w:pPr>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360" w:lineRule="auto"/>
        <w:ind w:left="6" w:leftChars="0" w:firstLine="635"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培训文档</w:t>
      </w:r>
    </w:p>
    <w:p>
      <w:pPr>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360" w:lineRule="auto"/>
        <w:ind w:left="6" w:leftChars="0" w:firstLine="635"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现场查验计划</w:t>
      </w:r>
    </w:p>
    <w:p>
      <w:pPr>
        <w:numPr>
          <w:ilvl w:val="0"/>
          <w:numId w:val="3"/>
        </w:numPr>
        <w:ind w:left="0" w:leftChars="0" w:firstLine="420" w:firstLineChars="0"/>
        <w:rPr>
          <w:rFonts w:hint="eastAsia" w:ascii="宋体" w:hAnsi="宋体" w:eastAsia="宋体" w:cs="宋体"/>
          <w:b/>
          <w:bCs/>
          <w:sz w:val="28"/>
          <w:szCs w:val="36"/>
        </w:rPr>
      </w:pPr>
      <w:r>
        <w:rPr>
          <w:rFonts w:hint="eastAsia" w:ascii="宋体" w:hAnsi="宋体" w:eastAsia="宋体" w:cs="宋体"/>
          <w:b/>
          <w:bCs/>
          <w:sz w:val="28"/>
          <w:szCs w:val="36"/>
        </w:rPr>
        <w:t>合同工期</w:t>
      </w:r>
    </w:p>
    <w:p>
      <w:pPr>
        <w:adjustRightInd w:val="0"/>
        <w:snapToGrid w:val="0"/>
        <w:spacing w:line="360" w:lineRule="auto"/>
        <w:ind w:firstLine="482"/>
        <w:rPr>
          <w:rFonts w:hint="eastAsia" w:ascii="宋体" w:hAnsi="宋体" w:eastAsia="宋体" w:cs="宋体"/>
          <w:sz w:val="24"/>
          <w:highlight w:val="none"/>
          <w:lang w:eastAsia="zh-CN"/>
        </w:rPr>
      </w:pPr>
      <w:r>
        <w:rPr>
          <w:rFonts w:hint="eastAsia" w:ascii="宋体" w:hAnsi="宋体" w:eastAsia="宋体" w:cs="宋体"/>
          <w:sz w:val="24"/>
        </w:rPr>
        <w:t>合同工期：</w:t>
      </w:r>
      <w:r>
        <w:rPr>
          <w:rFonts w:hint="eastAsia" w:ascii="宋体" w:hAnsi="宋体" w:eastAsia="宋体" w:cs="宋体"/>
          <w:sz w:val="24"/>
          <w:highlight w:val="none"/>
        </w:rPr>
        <w:t>2021年5月至2023年5月</w:t>
      </w:r>
      <w:r>
        <w:rPr>
          <w:rFonts w:hint="eastAsia" w:ascii="宋体" w:hAnsi="宋体" w:eastAsia="宋体" w:cs="宋体"/>
          <w:sz w:val="24"/>
          <w:highlight w:val="none"/>
          <w:lang w:eastAsia="zh-CN"/>
        </w:rPr>
        <w:t>。</w:t>
      </w:r>
    </w:p>
    <w:p>
      <w:pPr>
        <w:numPr>
          <w:ilvl w:val="0"/>
          <w:numId w:val="3"/>
        </w:numPr>
        <w:ind w:left="0" w:leftChars="0" w:firstLine="420" w:firstLineChars="0"/>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人员要求</w:t>
      </w:r>
    </w:p>
    <w:p>
      <w:pPr>
        <w:spacing w:line="360" w:lineRule="auto"/>
        <w:ind w:firstLine="420"/>
        <w:rPr>
          <w:rFonts w:hint="eastAsia" w:ascii="宋体" w:hAnsi="宋体" w:eastAsia="宋体" w:cs="宋体"/>
          <w:sz w:val="24"/>
          <w:szCs w:val="20"/>
        </w:rPr>
      </w:pPr>
      <w:r>
        <w:rPr>
          <w:rFonts w:hint="eastAsia" w:ascii="宋体" w:hAnsi="宋体" w:eastAsia="宋体" w:cs="宋体"/>
          <w:sz w:val="24"/>
          <w:szCs w:val="20"/>
          <w:highlight w:val="none"/>
        </w:rPr>
        <w:t>乙方应针对本项目成立专门的工作组不少于4人，并指定</w:t>
      </w:r>
      <w:r>
        <w:rPr>
          <w:rFonts w:hint="eastAsia" w:ascii="宋体" w:hAnsi="宋体" w:eastAsia="宋体" w:cs="宋体"/>
          <w:sz w:val="24"/>
          <w:szCs w:val="20"/>
          <w:highlight w:val="none"/>
          <w:lang w:eastAsia="zh-CN"/>
        </w:rPr>
        <w:t>（</w:t>
      </w:r>
      <w:r>
        <w:rPr>
          <w:rFonts w:hint="eastAsia" w:ascii="宋体" w:hAnsi="宋体" w:eastAsia="宋体" w:cs="宋体"/>
          <w:sz w:val="24"/>
          <w:szCs w:val="20"/>
          <w:highlight w:val="none"/>
          <w:lang w:val="en-US" w:eastAsia="zh-CN"/>
        </w:rPr>
        <w:t>数量</w:t>
      </w:r>
      <w:r>
        <w:rPr>
          <w:rFonts w:hint="eastAsia" w:ascii="宋体" w:hAnsi="宋体" w:eastAsia="宋体" w:cs="宋体"/>
          <w:sz w:val="24"/>
          <w:szCs w:val="20"/>
          <w:highlight w:val="none"/>
          <w:lang w:eastAsia="zh-CN"/>
        </w:rPr>
        <w:t>）</w:t>
      </w:r>
      <w:r>
        <w:rPr>
          <w:rFonts w:hint="eastAsia" w:ascii="宋体" w:hAnsi="宋体" w:eastAsia="宋体" w:cs="宋体"/>
          <w:sz w:val="24"/>
          <w:szCs w:val="20"/>
          <w:highlight w:val="none"/>
        </w:rPr>
        <w:t>固定技术力量用于电子病历评级的相关</w:t>
      </w:r>
      <w:r>
        <w:rPr>
          <w:rFonts w:hint="eastAsia" w:ascii="宋体" w:hAnsi="宋体" w:eastAsia="宋体" w:cs="宋体"/>
          <w:sz w:val="24"/>
          <w:szCs w:val="20"/>
        </w:rPr>
        <w:t>工作。向用户提供详细的维护人员清单及其联系方式。</w:t>
      </w:r>
    </w:p>
    <w:p>
      <w:pPr>
        <w:numPr>
          <w:ilvl w:val="0"/>
          <w:numId w:val="3"/>
        </w:numPr>
        <w:ind w:left="0" w:leftChars="0" w:firstLine="420" w:firstLineChars="0"/>
        <w:rPr>
          <w:rFonts w:hint="eastAsia" w:ascii="宋体" w:hAnsi="宋体" w:eastAsia="宋体" w:cs="宋体"/>
          <w:b/>
          <w:bCs/>
          <w:sz w:val="28"/>
          <w:szCs w:val="36"/>
        </w:rPr>
      </w:pPr>
      <w:r>
        <w:rPr>
          <w:rFonts w:hint="eastAsia" w:ascii="宋体" w:hAnsi="宋体" w:eastAsia="宋体" w:cs="宋体"/>
          <w:b/>
          <w:bCs/>
          <w:sz w:val="28"/>
          <w:szCs w:val="36"/>
        </w:rPr>
        <w:t xml:space="preserve"> 付款方式</w:t>
      </w:r>
    </w:p>
    <w:p>
      <w:pPr>
        <w:spacing w:line="360" w:lineRule="auto"/>
        <w:ind w:firstLine="410" w:firstLineChars="171"/>
        <w:rPr>
          <w:rFonts w:hint="eastAsia" w:ascii="宋体" w:hAnsi="宋体" w:eastAsia="宋体" w:cs="宋体"/>
          <w:sz w:val="24"/>
          <w:szCs w:val="24"/>
        </w:rPr>
      </w:pPr>
      <w:r>
        <w:rPr>
          <w:rFonts w:hint="eastAsia" w:ascii="宋体" w:hAnsi="宋体" w:eastAsia="宋体" w:cs="宋体"/>
          <w:sz w:val="24"/>
          <w:szCs w:val="24"/>
        </w:rPr>
        <w:t>甲方将按如下方式向乙方支付合同费用：</w:t>
      </w:r>
    </w:p>
    <w:p>
      <w:pPr>
        <w:numPr>
          <w:ilvl w:val="0"/>
          <w:numId w:val="13"/>
        </w:numPr>
        <w:spacing w:line="360" w:lineRule="auto"/>
        <w:ind w:left="0" w:leftChars="0" w:firstLine="482" w:firstLineChars="200"/>
        <w:rPr>
          <w:rFonts w:hint="eastAsia" w:ascii="宋体" w:hAnsi="宋体" w:eastAsia="宋体" w:cs="宋体"/>
          <w:sz w:val="24"/>
          <w:szCs w:val="24"/>
        </w:rPr>
      </w:pPr>
      <w:r>
        <w:rPr>
          <w:rFonts w:hint="eastAsia" w:ascii="宋体" w:hAnsi="宋体" w:eastAsia="宋体" w:cs="宋体"/>
          <w:b/>
          <w:sz w:val="24"/>
          <w:szCs w:val="24"/>
          <w:u w:val="single"/>
        </w:rPr>
        <w:t>合同签订后</w:t>
      </w:r>
      <w:r>
        <w:rPr>
          <w:rFonts w:hint="eastAsia" w:ascii="宋体" w:hAnsi="宋体" w:eastAsia="宋体" w:cs="宋体"/>
          <w:sz w:val="24"/>
          <w:szCs w:val="24"/>
        </w:rPr>
        <w:t>，甲方在收到乙方开具相应金额正式发票后，向乙方支付合同总金额的30%，共计人民币</w:t>
      </w:r>
      <w:r>
        <w:rPr>
          <w:rFonts w:hint="eastAsia" w:ascii="宋体" w:hAnsi="宋体" w:eastAsia="宋体" w:cs="宋体"/>
          <w:color w:val="000000"/>
          <w:sz w:val="24"/>
          <w:szCs w:val="20"/>
        </w:rPr>
        <w:t>_________元(大写：人民币_________元整)。</w:t>
      </w:r>
    </w:p>
    <w:p>
      <w:pPr>
        <w:numPr>
          <w:ilvl w:val="0"/>
          <w:numId w:val="13"/>
        </w:numPr>
        <w:spacing w:line="360" w:lineRule="auto"/>
        <w:ind w:left="0" w:leftChars="0" w:firstLine="480" w:firstLineChars="200"/>
        <w:rPr>
          <w:rFonts w:hint="eastAsia" w:ascii="宋体" w:hAnsi="宋体" w:eastAsia="宋体" w:cs="宋体"/>
          <w:highlight w:val="none"/>
          <w:lang w:val="en-US" w:eastAsia="zh-CN"/>
        </w:rPr>
      </w:pPr>
      <w:r>
        <w:rPr>
          <w:rFonts w:hint="eastAsia" w:ascii="宋体" w:hAnsi="宋体" w:eastAsia="宋体" w:cs="宋体"/>
          <w:sz w:val="24"/>
          <w:szCs w:val="24"/>
          <w:lang w:val="en-US" w:eastAsia="zh-CN"/>
        </w:rPr>
        <w:t>若</w:t>
      </w:r>
      <w:r>
        <w:rPr>
          <w:rFonts w:hint="eastAsia" w:ascii="宋体" w:hAnsi="宋体" w:eastAsia="宋体" w:cs="宋体"/>
          <w:sz w:val="24"/>
          <w:szCs w:val="24"/>
        </w:rPr>
        <w:t>乙方协助甲方通过国家电子病历系统功能应用水平分级评价（</w:t>
      </w:r>
      <w:r>
        <w:rPr>
          <w:rFonts w:hint="eastAsia" w:ascii="宋体" w:hAnsi="宋体" w:eastAsia="宋体" w:cs="宋体"/>
          <w:sz w:val="24"/>
          <w:szCs w:val="24"/>
          <w:lang w:eastAsia="zh-CN"/>
        </w:rPr>
        <w:t>五级</w:t>
      </w:r>
      <w:r>
        <w:rPr>
          <w:rFonts w:hint="eastAsia" w:ascii="宋体" w:hAnsi="宋体" w:eastAsia="宋体" w:cs="宋体"/>
          <w:sz w:val="24"/>
          <w:szCs w:val="24"/>
        </w:rPr>
        <w:t>）评审测评，</w:t>
      </w:r>
      <w:r>
        <w:rPr>
          <w:rFonts w:hint="eastAsia" w:ascii="宋体" w:hAnsi="宋体" w:eastAsia="宋体" w:cs="宋体"/>
          <w:sz w:val="24"/>
          <w:szCs w:val="24"/>
          <w:lang w:val="en-US" w:eastAsia="zh-CN"/>
        </w:rPr>
        <w:t>且</w:t>
      </w:r>
      <w:r>
        <w:rPr>
          <w:rFonts w:hint="eastAsia" w:ascii="宋体" w:hAnsi="宋体" w:eastAsia="宋体" w:cs="宋体"/>
          <w:sz w:val="24"/>
          <w:szCs w:val="24"/>
        </w:rPr>
        <w:t>乙方开具相应金额正式发票后，甲方向乙方支付合同总金额的70%，共计人民币_____</w:t>
      </w:r>
      <w:r>
        <w:rPr>
          <w:rFonts w:hint="eastAsia" w:ascii="宋体" w:hAnsi="宋体" w:eastAsia="宋体" w:cs="宋体"/>
          <w:color w:val="000000"/>
          <w:sz w:val="24"/>
          <w:szCs w:val="20"/>
        </w:rPr>
        <w:t>____元(大写：人民币_________元整)</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lang w:val="en-US" w:eastAsia="zh-CN"/>
        </w:rPr>
        <w:t>若</w:t>
      </w:r>
      <w:r>
        <w:rPr>
          <w:rFonts w:hint="eastAsia" w:ascii="宋体" w:hAnsi="宋体" w:eastAsia="宋体" w:cs="宋体"/>
          <w:sz w:val="24"/>
          <w:szCs w:val="24"/>
        </w:rPr>
        <w:t>甲方在合同工期内未通过国家电子病历系统功能应用水平分级评价（</w:t>
      </w:r>
      <w:r>
        <w:rPr>
          <w:rFonts w:hint="eastAsia" w:ascii="宋体" w:hAnsi="宋体" w:eastAsia="宋体" w:cs="宋体"/>
          <w:sz w:val="24"/>
          <w:szCs w:val="24"/>
          <w:lang w:eastAsia="zh-CN"/>
        </w:rPr>
        <w:t>五级</w:t>
      </w:r>
      <w:r>
        <w:rPr>
          <w:rFonts w:hint="eastAsia" w:ascii="宋体" w:hAnsi="宋体" w:eastAsia="宋体" w:cs="宋体"/>
          <w:sz w:val="24"/>
          <w:szCs w:val="24"/>
        </w:rPr>
        <w:t>）评审测评，</w:t>
      </w:r>
      <w:r>
        <w:rPr>
          <w:rFonts w:hint="eastAsia" w:ascii="宋体" w:hAnsi="宋体" w:eastAsia="宋体" w:cs="宋体"/>
          <w:sz w:val="24"/>
          <w:szCs w:val="24"/>
          <w:highlight w:val="none"/>
        </w:rPr>
        <w:t>则甲方不</w:t>
      </w:r>
      <w:r>
        <w:rPr>
          <w:rFonts w:hint="eastAsia" w:ascii="宋体" w:hAnsi="宋体" w:eastAsia="宋体" w:cs="宋体"/>
          <w:sz w:val="24"/>
          <w:szCs w:val="24"/>
          <w:highlight w:val="none"/>
          <w:lang w:val="en-US" w:eastAsia="zh-CN"/>
        </w:rPr>
        <w:t>再</w:t>
      </w:r>
      <w:r>
        <w:rPr>
          <w:rFonts w:hint="eastAsia" w:ascii="宋体" w:hAnsi="宋体" w:eastAsia="宋体" w:cs="宋体"/>
          <w:sz w:val="24"/>
          <w:szCs w:val="24"/>
          <w:highlight w:val="none"/>
        </w:rPr>
        <w:t>向乙方支付</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剩余金额。</w:t>
      </w:r>
      <w:bookmarkEnd w:id="0"/>
      <w:bookmarkEnd w:id="1"/>
      <w:bookmarkEnd w:id="2"/>
      <w:bookmarkEnd w:id="3"/>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24757"/>
    <w:multiLevelType w:val="singleLevel"/>
    <w:tmpl w:val="85024757"/>
    <w:lvl w:ilvl="0" w:tentative="0">
      <w:start w:val="1"/>
      <w:numFmt w:val="decimalEnclosedCircleChinese"/>
      <w:suff w:val="nothing"/>
      <w:lvlText w:val="%1　"/>
      <w:lvlJc w:val="left"/>
      <w:pPr>
        <w:ind w:left="0" w:firstLine="400"/>
      </w:pPr>
      <w:rPr>
        <w:rFonts w:hint="eastAsia"/>
      </w:rPr>
    </w:lvl>
  </w:abstractNum>
  <w:abstractNum w:abstractNumId="1">
    <w:nsid w:val="96E9907C"/>
    <w:multiLevelType w:val="singleLevel"/>
    <w:tmpl w:val="96E9907C"/>
    <w:lvl w:ilvl="0" w:tentative="0">
      <w:start w:val="1"/>
      <w:numFmt w:val="decimalEnclosedCircleChinese"/>
      <w:suff w:val="nothing"/>
      <w:lvlText w:val="%1　"/>
      <w:lvlJc w:val="left"/>
      <w:pPr>
        <w:ind w:left="0" w:firstLine="400"/>
      </w:pPr>
      <w:rPr>
        <w:rFonts w:hint="eastAsia"/>
      </w:rPr>
    </w:lvl>
  </w:abstractNum>
  <w:abstractNum w:abstractNumId="2">
    <w:nsid w:val="DE404F3E"/>
    <w:multiLevelType w:val="singleLevel"/>
    <w:tmpl w:val="DE404F3E"/>
    <w:lvl w:ilvl="0" w:tentative="0">
      <w:start w:val="1"/>
      <w:numFmt w:val="decimal"/>
      <w:suff w:val="nothing"/>
      <w:lvlText w:val="%1．"/>
      <w:lvlJc w:val="left"/>
      <w:pPr>
        <w:ind w:left="0" w:firstLine="400"/>
      </w:pPr>
      <w:rPr>
        <w:rFonts w:hint="default"/>
      </w:rPr>
    </w:lvl>
  </w:abstractNum>
  <w:abstractNum w:abstractNumId="3">
    <w:nsid w:val="EAC3DDEB"/>
    <w:multiLevelType w:val="singleLevel"/>
    <w:tmpl w:val="EAC3DDEB"/>
    <w:lvl w:ilvl="0" w:tentative="0">
      <w:start w:val="1"/>
      <w:numFmt w:val="chineseCounting"/>
      <w:suff w:val="nothing"/>
      <w:lvlText w:val="（%1）"/>
      <w:lvlJc w:val="left"/>
      <w:pPr>
        <w:ind w:left="0" w:firstLine="420"/>
      </w:pPr>
      <w:rPr>
        <w:rFonts w:hint="eastAsia"/>
      </w:rPr>
    </w:lvl>
  </w:abstractNum>
  <w:abstractNum w:abstractNumId="4">
    <w:nsid w:val="FBFBAB15"/>
    <w:multiLevelType w:val="singleLevel"/>
    <w:tmpl w:val="FBFBAB15"/>
    <w:lvl w:ilvl="0" w:tentative="0">
      <w:start w:val="1"/>
      <w:numFmt w:val="decimal"/>
      <w:suff w:val="nothing"/>
      <w:lvlText w:val="%1．"/>
      <w:lvlJc w:val="left"/>
      <w:pPr>
        <w:ind w:left="0" w:firstLine="400"/>
      </w:pPr>
      <w:rPr>
        <w:rFonts w:hint="default"/>
      </w:rPr>
    </w:lvl>
  </w:abstractNum>
  <w:abstractNum w:abstractNumId="5">
    <w:nsid w:val="2F9DCF8B"/>
    <w:multiLevelType w:val="singleLevel"/>
    <w:tmpl w:val="2F9DCF8B"/>
    <w:lvl w:ilvl="0" w:tentative="0">
      <w:start w:val="1"/>
      <w:numFmt w:val="decimal"/>
      <w:suff w:val="nothing"/>
      <w:lvlText w:val="%1．"/>
      <w:lvlJc w:val="left"/>
      <w:pPr>
        <w:ind w:left="0" w:firstLine="400"/>
      </w:pPr>
      <w:rPr>
        <w:rFonts w:hint="default"/>
      </w:rPr>
    </w:lvl>
  </w:abstractNum>
  <w:abstractNum w:abstractNumId="6">
    <w:nsid w:val="3A4946E3"/>
    <w:multiLevelType w:val="multilevel"/>
    <w:tmpl w:val="3A4946E3"/>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3D3C70CE"/>
    <w:multiLevelType w:val="singleLevel"/>
    <w:tmpl w:val="3D3C70CE"/>
    <w:lvl w:ilvl="0" w:tentative="0">
      <w:start w:val="1"/>
      <w:numFmt w:val="chineseCounting"/>
      <w:suff w:val="nothing"/>
      <w:lvlText w:val="%1、"/>
      <w:lvlJc w:val="left"/>
      <w:rPr>
        <w:rFonts w:hint="eastAsia"/>
      </w:rPr>
    </w:lvl>
  </w:abstractNum>
  <w:abstractNum w:abstractNumId="8">
    <w:nsid w:val="4C6ED225"/>
    <w:multiLevelType w:val="singleLevel"/>
    <w:tmpl w:val="4C6ED225"/>
    <w:lvl w:ilvl="0" w:tentative="0">
      <w:start w:val="1"/>
      <w:numFmt w:val="decimal"/>
      <w:lvlText w:val="%1)"/>
      <w:lvlJc w:val="left"/>
      <w:pPr>
        <w:ind w:left="425" w:hanging="425"/>
      </w:pPr>
      <w:rPr>
        <w:rFonts w:hint="default"/>
      </w:rPr>
    </w:lvl>
  </w:abstractNum>
  <w:abstractNum w:abstractNumId="9">
    <w:nsid w:val="4D3D0CB2"/>
    <w:multiLevelType w:val="singleLevel"/>
    <w:tmpl w:val="4D3D0CB2"/>
    <w:lvl w:ilvl="0" w:tentative="0">
      <w:start w:val="1"/>
      <w:numFmt w:val="decimalEnclosedCircleChinese"/>
      <w:suff w:val="nothing"/>
      <w:lvlText w:val="%1　"/>
      <w:lvlJc w:val="left"/>
      <w:pPr>
        <w:ind w:left="0" w:firstLine="400"/>
      </w:pPr>
      <w:rPr>
        <w:rFonts w:hint="eastAsia"/>
      </w:rPr>
    </w:lvl>
  </w:abstractNum>
  <w:abstractNum w:abstractNumId="10">
    <w:nsid w:val="692917B9"/>
    <w:multiLevelType w:val="singleLevel"/>
    <w:tmpl w:val="692917B9"/>
    <w:lvl w:ilvl="0" w:tentative="0">
      <w:start w:val="1"/>
      <w:numFmt w:val="decimal"/>
      <w:suff w:val="nothing"/>
      <w:lvlText w:val="%1．"/>
      <w:lvlJc w:val="left"/>
      <w:pPr>
        <w:ind w:left="0" w:firstLine="400"/>
      </w:pPr>
      <w:rPr>
        <w:rFonts w:hint="default"/>
      </w:rPr>
    </w:lvl>
  </w:abstractNum>
  <w:abstractNum w:abstractNumId="11">
    <w:nsid w:val="6ADD0EE2"/>
    <w:multiLevelType w:val="multilevel"/>
    <w:tmpl w:val="6ADD0EE2"/>
    <w:lvl w:ilvl="0" w:tentative="0">
      <w:start w:val="1"/>
      <w:numFmt w:val="chineseCounting"/>
      <w:suff w:val="nothing"/>
      <w:lvlText w:val="第%1章 "/>
      <w:lvlJc w:val="left"/>
      <w:pPr>
        <w:ind w:left="432" w:hanging="432"/>
      </w:pPr>
      <w:rPr>
        <w:rFonts w:hint="eastAsia"/>
      </w:rPr>
    </w:lvl>
    <w:lvl w:ilvl="1" w:tentative="0">
      <w:start w:val="1"/>
      <w:numFmt w:val="decimal"/>
      <w:pStyle w:val="6"/>
      <w:isLgl/>
      <w:lvlText w:val="%1.%2."/>
      <w:lvlJc w:val="left"/>
      <w:pPr>
        <w:ind w:left="575" w:hanging="575"/>
      </w:pPr>
      <w:rPr>
        <w:rFonts w:hint="eastAsia"/>
      </w:rPr>
    </w:lvl>
    <w:lvl w:ilvl="2" w:tentative="0">
      <w:start w:val="1"/>
      <w:numFmt w:val="decimal"/>
      <w:pStyle w:val="7"/>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2">
    <w:nsid w:val="7C2EA93F"/>
    <w:multiLevelType w:val="singleLevel"/>
    <w:tmpl w:val="7C2EA93F"/>
    <w:lvl w:ilvl="0" w:tentative="0">
      <w:start w:val="1"/>
      <w:numFmt w:val="decimal"/>
      <w:lvlText w:val="%1)"/>
      <w:lvlJc w:val="left"/>
      <w:pPr>
        <w:ind w:left="425" w:hanging="425"/>
      </w:pPr>
      <w:rPr>
        <w:rFonts w:hint="default"/>
      </w:rPr>
    </w:lvl>
  </w:abstractNum>
  <w:num w:numId="1">
    <w:abstractNumId w:val="11"/>
  </w:num>
  <w:num w:numId="2">
    <w:abstractNumId w:val="7"/>
  </w:num>
  <w:num w:numId="3">
    <w:abstractNumId w:val="3"/>
  </w:num>
  <w:num w:numId="4">
    <w:abstractNumId w:val="5"/>
  </w:num>
  <w:num w:numId="5">
    <w:abstractNumId w:val="6"/>
  </w:num>
  <w:num w:numId="6">
    <w:abstractNumId w:val="0"/>
  </w:num>
  <w:num w:numId="7">
    <w:abstractNumId w:val="9"/>
  </w:num>
  <w:num w:numId="8">
    <w:abstractNumId w:val="1"/>
  </w:num>
  <w:num w:numId="9">
    <w:abstractNumId w:val="12"/>
  </w:num>
  <w:num w:numId="10">
    <w:abstractNumId w:val="10"/>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2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971EB"/>
    <w:rsid w:val="01674493"/>
    <w:rsid w:val="0352060F"/>
    <w:rsid w:val="06BA7BBC"/>
    <w:rsid w:val="1562385E"/>
    <w:rsid w:val="1E4821CD"/>
    <w:rsid w:val="1ECE7AB1"/>
    <w:rsid w:val="1FF735DF"/>
    <w:rsid w:val="22264C65"/>
    <w:rsid w:val="28633DDD"/>
    <w:rsid w:val="299A75E8"/>
    <w:rsid w:val="2F207DF1"/>
    <w:rsid w:val="3146403C"/>
    <w:rsid w:val="433971EB"/>
    <w:rsid w:val="44897985"/>
    <w:rsid w:val="46B94AFB"/>
    <w:rsid w:val="4B1750F0"/>
    <w:rsid w:val="4C8C5CE3"/>
    <w:rsid w:val="4E19475A"/>
    <w:rsid w:val="522D0293"/>
    <w:rsid w:val="52EA37B8"/>
    <w:rsid w:val="55BD54FD"/>
    <w:rsid w:val="60BE4893"/>
    <w:rsid w:val="61036C00"/>
    <w:rsid w:val="626E490C"/>
    <w:rsid w:val="6A5F672E"/>
    <w:rsid w:val="6B5B22DE"/>
    <w:rsid w:val="6E7D5C91"/>
    <w:rsid w:val="6EEF672D"/>
    <w:rsid w:val="7C243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7"/>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pageBreakBefore w:val="0"/>
      <w:widowControl w:val="0"/>
      <w:numPr>
        <w:ilvl w:val="1"/>
        <w:numId w:val="1"/>
      </w:numPr>
      <w:spacing w:line="360" w:lineRule="auto"/>
      <w:ind w:left="573" w:hanging="573" w:firstLineChars="0"/>
      <w:jc w:val="both"/>
      <w:outlineLvl w:val="1"/>
    </w:pPr>
    <w:rPr>
      <w:rFonts w:ascii="Calibri Light" w:hAnsi="Calibri Light" w:eastAsia="宋体"/>
      <w:kern w:val="2"/>
      <w:sz w:val="32"/>
      <w:szCs w:val="32"/>
    </w:rPr>
  </w:style>
  <w:style w:type="paragraph" w:styleId="7">
    <w:name w:val="heading 3"/>
    <w:basedOn w:val="1"/>
    <w:next w:val="1"/>
    <w:unhideWhenUsed/>
    <w:qFormat/>
    <w:uiPriority w:val="0"/>
    <w:pPr>
      <w:keepNext/>
      <w:keepLines/>
      <w:numPr>
        <w:ilvl w:val="2"/>
        <w:numId w:val="1"/>
      </w:numPr>
      <w:adjustRightInd w:val="0"/>
      <w:spacing w:before="20" w:after="20" w:line="360" w:lineRule="auto"/>
      <w:ind w:left="0" w:leftChars="0" w:firstLine="0"/>
      <w:outlineLvl w:val="2"/>
    </w:pPr>
    <w:rPr>
      <w:rFonts w:ascii="Calibri Light" w:hAnsi="Calibri Light" w:eastAsia="宋体"/>
      <w:b/>
      <w:sz w:val="28"/>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jc w:val="left"/>
    </w:pPr>
    <w:rPr>
      <w:rFonts w:ascii="Times New Roman" w:hAnsi="Times New Roman" w:eastAsia="宋体" w:cs="Times New Roman"/>
      <w:sz w:val="24"/>
    </w:rPr>
  </w:style>
  <w:style w:type="paragraph" w:styleId="3">
    <w:name w:val="Body Text Indent"/>
    <w:basedOn w:val="1"/>
    <w:next w:val="4"/>
    <w:qFormat/>
    <w:uiPriority w:val="0"/>
    <w:pPr>
      <w:spacing w:after="120"/>
      <w:ind w:left="420" w:leftChars="200"/>
    </w:pPr>
    <w:rPr>
      <w:rFonts w:ascii="Calibri" w:hAnsi="Calibri"/>
    </w:rPr>
  </w:style>
  <w:style w:type="paragraph" w:styleId="4">
    <w:name w:val="envelope return"/>
    <w:basedOn w:val="1"/>
    <w:qFormat/>
    <w:uiPriority w:val="0"/>
    <w:pPr>
      <w:snapToGrid w:val="0"/>
    </w:pPr>
    <w:rPr>
      <w:rFonts w:ascii="Arial" w:hAnsi="Arial"/>
    </w:rPr>
  </w:style>
  <w:style w:type="paragraph" w:styleId="8">
    <w:name w:val="Body Text"/>
    <w:basedOn w:val="1"/>
    <w:qFormat/>
    <w:uiPriority w:val="0"/>
    <w:pPr>
      <w:spacing w:afterLines="0" w:afterAutospacing="0"/>
    </w:pPr>
    <w:rPr>
      <w:sz w:val="21"/>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 w:type="paragraph" w:styleId="12">
    <w:name w:val="Body Text First Indent"/>
    <w:basedOn w:val="8"/>
    <w:qFormat/>
    <w:uiPriority w:val="0"/>
    <w:pPr>
      <w:ind w:firstLine="420" w:firstLineChars="100"/>
    </w:p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常1"/>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customStyle="1" w:styleId="17">
    <w:name w:val="标题 1字符"/>
    <w:link w:val="5"/>
    <w:qFormat/>
    <w:uiPriority w:val="9"/>
    <w:rPr>
      <w:b/>
      <w:kern w:val="44"/>
      <w:sz w:val="44"/>
    </w:rPr>
  </w:style>
  <w:style w:type="paragraph" w:customStyle="1" w:styleId="18">
    <w:name w:val="缩2"/>
    <w:basedOn w:val="12"/>
    <w:qFormat/>
    <w:uiPriority w:val="0"/>
    <w:pPr>
      <w:spacing w:after="20" w:line="360" w:lineRule="auto"/>
      <w:ind w:firstLine="643" w:firstLineChars="200"/>
    </w:pPr>
    <w:rPr>
      <w:rFonts w:ascii="Calibri" w:hAnsi="Calibri" w:eastAsia="宋体" w:cs="Times New Roman"/>
      <w:sz w:val="24"/>
    </w:rPr>
  </w:style>
  <w:style w:type="paragraph" w:customStyle="1" w:styleId="19">
    <w:name w:val="列出段落1"/>
    <w:basedOn w:val="1"/>
    <w:qFormat/>
    <w:uiPriority w:val="34"/>
    <w:pPr>
      <w:ind w:firstLine="420" w:firstLineChars="200"/>
    </w:pPr>
  </w:style>
  <w:style w:type="paragraph" w:customStyle="1" w:styleId="20">
    <w:name w:val="列出段落11"/>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2021-02-03T05:11:00Z</dcterms:created>
  <dc:creator>桃呆</dc:creator>
  <cp:lastModifiedBy>蓉</cp:lastModifiedBy>
  <dcterms:modified xsi:type="dcterms:W3CDTF">2021-03-24T08:52:16Z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536A95204636400E8747A03B1F718036</vt:lpwstr>
  </property>
</Properties>
</file>