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29" w:rsidRPr="00F671A2" w:rsidRDefault="00C00029" w:rsidP="00C00029">
      <w:pPr>
        <w:jc w:val="center"/>
        <w:rPr>
          <w:rFonts w:hint="eastAsia"/>
          <w:b/>
          <w:noProof/>
          <w:sz w:val="32"/>
          <w:szCs w:val="32"/>
        </w:rPr>
      </w:pPr>
      <w:r w:rsidRPr="00F671A2">
        <w:rPr>
          <w:rFonts w:hint="eastAsia"/>
          <w:b/>
          <w:noProof/>
          <w:sz w:val="32"/>
          <w:szCs w:val="32"/>
        </w:rPr>
        <w:t>核心多组学数据分析及备份系统技术参数</w:t>
      </w:r>
    </w:p>
    <w:p w:rsidR="00C00029" w:rsidRPr="00410282" w:rsidRDefault="00C00029" w:rsidP="00C00029">
      <w:pPr>
        <w:jc w:val="left"/>
        <w:rPr>
          <w:rFonts w:hint="eastAsia"/>
          <w:b/>
          <w:noProof/>
        </w:rPr>
      </w:pPr>
      <w:r w:rsidRPr="00410282">
        <w:rPr>
          <w:rFonts w:hint="eastAsia"/>
          <w:b/>
          <w:noProof/>
        </w:rPr>
        <w:t>设备</w:t>
      </w:r>
      <w:r w:rsidR="00410282" w:rsidRPr="00410282">
        <w:rPr>
          <w:rFonts w:hint="eastAsia"/>
          <w:b/>
          <w:noProof/>
        </w:rPr>
        <w:t>基本</w:t>
      </w:r>
      <w:r w:rsidRPr="00410282">
        <w:rPr>
          <w:rFonts w:hint="eastAsia"/>
          <w:b/>
          <w:noProof/>
        </w:rPr>
        <w:t>技术参数及配置要求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CPU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颗</w:t>
      </w:r>
      <w:r>
        <w:rPr>
          <w:rFonts w:hint="eastAsia"/>
          <w:noProof/>
        </w:rPr>
        <w:t>AMD EPYC7702(2.2GHz/64core)</w:t>
      </w:r>
      <w:r>
        <w:rPr>
          <w:rFonts w:hint="eastAsia"/>
          <w:noProof/>
        </w:rPr>
        <w:t>共</w:t>
      </w:r>
      <w:r>
        <w:rPr>
          <w:rFonts w:hint="eastAsia"/>
          <w:noProof/>
        </w:rPr>
        <w:t>128core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内存：</w:t>
      </w:r>
      <w:r>
        <w:rPr>
          <w:rFonts w:hint="eastAsia"/>
          <w:noProof/>
        </w:rPr>
        <w:t>768GB DDR4 3200MT/s(24*32GB)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硬盘：</w:t>
      </w:r>
      <w:r>
        <w:rPr>
          <w:rFonts w:hint="eastAsia"/>
          <w:noProof/>
        </w:rPr>
        <w:t>12</w:t>
      </w:r>
      <w:r>
        <w:rPr>
          <w:rFonts w:hint="eastAsia"/>
          <w:noProof/>
        </w:rPr>
        <w:t>块</w:t>
      </w:r>
      <w:r>
        <w:rPr>
          <w:rFonts w:hint="eastAsia"/>
          <w:noProof/>
        </w:rPr>
        <w:t>10TB SATA 7.2K RPM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Raid</w:t>
      </w:r>
      <w:r>
        <w:rPr>
          <w:rFonts w:hint="eastAsia"/>
          <w:noProof/>
        </w:rPr>
        <w:t>卡：支持</w:t>
      </w:r>
      <w:r>
        <w:rPr>
          <w:rFonts w:hint="eastAsia"/>
          <w:noProof/>
        </w:rPr>
        <w:t>Raid0/1/5/6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GPU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块</w:t>
      </w:r>
      <w:r>
        <w:rPr>
          <w:rFonts w:hint="eastAsia"/>
          <w:noProof/>
        </w:rPr>
        <w:t>3080</w:t>
      </w:r>
      <w:r>
        <w:rPr>
          <w:rFonts w:hint="eastAsia"/>
          <w:noProof/>
        </w:rPr>
        <w:t>，显存</w:t>
      </w:r>
      <w:r>
        <w:rPr>
          <w:rFonts w:hint="eastAsia"/>
          <w:noProof/>
        </w:rPr>
        <w:t>10GB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网络：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个</w:t>
      </w:r>
      <w:r>
        <w:rPr>
          <w:rFonts w:hint="eastAsia"/>
          <w:noProof/>
        </w:rPr>
        <w:t>1GE</w:t>
      </w:r>
      <w:r>
        <w:rPr>
          <w:rFonts w:hint="eastAsia"/>
          <w:noProof/>
        </w:rPr>
        <w:t>端口，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个专用</w:t>
      </w:r>
      <w:r>
        <w:rPr>
          <w:rFonts w:hint="eastAsia"/>
          <w:noProof/>
        </w:rPr>
        <w:t>1GE</w:t>
      </w:r>
      <w:r>
        <w:rPr>
          <w:rFonts w:hint="eastAsia"/>
          <w:noProof/>
        </w:rPr>
        <w:t>管理端口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风扇：冗余风扇</w:t>
      </w:r>
    </w:p>
    <w:p w:rsidR="00C00029" w:rsidRDefault="00C00029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电源：</w:t>
      </w:r>
      <w:r>
        <w:rPr>
          <w:rFonts w:hint="eastAsia"/>
          <w:noProof/>
        </w:rPr>
        <w:t>1+1</w:t>
      </w:r>
      <w:r>
        <w:rPr>
          <w:rFonts w:hint="eastAsia"/>
          <w:noProof/>
        </w:rPr>
        <w:t>冗余电源</w:t>
      </w:r>
    </w:p>
    <w:p w:rsidR="00612566" w:rsidRDefault="00612566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包含备份系统：提供企业级的连续数据备份、按需恢复服务，可简便地将各分节点的数据实时备份到本地或异地的灾备中心节点，并且按需快速地恢复需要的数据。严格保证生产系统和灾备中心数据的一致性和完整性。可广泛应用于普通文件系统、数据库系统、邮件系统等实时的容灾备份保护。具有全新的系统分成架构、字节级增量数据捕获、序列化数据传输等特点。</w:t>
      </w:r>
    </w:p>
    <w:p w:rsidR="00612566" w:rsidRPr="00612566" w:rsidRDefault="00612566" w:rsidP="00C00029">
      <w:pPr>
        <w:jc w:val="left"/>
        <w:rPr>
          <w:rFonts w:hint="eastAsia"/>
          <w:noProof/>
        </w:rPr>
      </w:pPr>
      <w:r>
        <w:rPr>
          <w:rFonts w:hint="eastAsia"/>
          <w:noProof/>
        </w:rPr>
        <w:t>包含软件服务：提供两年软件技术服务，协助用户安装、调试生信领域相关开源应用软件；除备份软件自由功能外，协助用户编写一些命令行脚本来定义个性化的备份策略。</w:t>
      </w:r>
    </w:p>
    <w:p w:rsidR="00410282" w:rsidRDefault="00410282" w:rsidP="00C00029">
      <w:pPr>
        <w:jc w:val="left"/>
        <w:rPr>
          <w:rFonts w:hint="eastAsia"/>
          <w:noProof/>
        </w:rPr>
      </w:pPr>
    </w:p>
    <w:p w:rsidR="00C00029" w:rsidRPr="009F0F19" w:rsidRDefault="00410282" w:rsidP="009F0F19">
      <w:pPr>
        <w:jc w:val="left"/>
        <w:rPr>
          <w:rFonts w:hint="eastAsia"/>
          <w:b/>
          <w:noProof/>
        </w:rPr>
      </w:pPr>
      <w:r w:rsidRPr="00410282">
        <w:rPr>
          <w:rFonts w:hint="eastAsia"/>
          <w:b/>
          <w:noProof/>
        </w:rPr>
        <w:t>具体要求如下</w:t>
      </w:r>
    </w:p>
    <w:p w:rsidR="00C00029" w:rsidRPr="009F0F19" w:rsidRDefault="00C00029" w:rsidP="00C00029">
      <w:pPr>
        <w:jc w:val="left"/>
        <w:rPr>
          <w:rFonts w:hint="eastAsia"/>
          <w:b/>
          <w:noProof/>
        </w:rPr>
      </w:pPr>
      <w:r w:rsidRPr="009F0F19">
        <w:rPr>
          <w:rFonts w:hint="eastAsia"/>
          <w:b/>
          <w:noProof/>
        </w:rPr>
        <w:t>硬件部分：</w:t>
      </w:r>
    </w:p>
    <w:p w:rsidR="00153376" w:rsidRDefault="00153376" w:rsidP="00153376">
      <w:pPr>
        <w:pStyle w:val="Bodytext10"/>
        <w:tabs>
          <w:tab w:val="left" w:pos="376"/>
        </w:tabs>
        <w:spacing w:line="481" w:lineRule="exact"/>
        <w:jc w:val="both"/>
      </w:pPr>
      <w:bookmarkStart w:id="0" w:name="bookmark3"/>
      <w:r>
        <w:t>1</w:t>
      </w:r>
      <w:bookmarkEnd w:id="0"/>
      <w:r>
        <w:t>、</w:t>
      </w:r>
      <w:r>
        <w:tab/>
        <w:t>机架式服务器，满配热插拔全冗余风扇和电源，电源风扇模块需满配</w:t>
      </w:r>
    </w:p>
    <w:p w:rsidR="00153376" w:rsidRDefault="00153376" w:rsidP="00153376">
      <w:pPr>
        <w:pStyle w:val="Bodytext10"/>
        <w:tabs>
          <w:tab w:val="left" w:pos="394"/>
        </w:tabs>
        <w:spacing w:line="481" w:lineRule="exact"/>
        <w:jc w:val="both"/>
      </w:pPr>
      <w:bookmarkStart w:id="1" w:name="bookmark4"/>
      <w:r>
        <w:t>2</w:t>
      </w:r>
      <w:bookmarkEnd w:id="1"/>
      <w:r>
        <w:t>、</w:t>
      </w:r>
      <w:r>
        <w:tab/>
        <w:t>每个节点电源模块</w:t>
      </w:r>
      <w:r>
        <w:rPr>
          <w:lang w:val="en-US" w:eastAsia="zh-CN" w:bidi="en-US"/>
        </w:rPr>
        <w:t>N+1</w:t>
      </w:r>
      <w:r>
        <w:t>冗余，20%负载转换效率</w:t>
      </w:r>
      <w:r w:rsidR="00625119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 xml:space="preserve">90%, </w:t>
      </w:r>
      <w:r>
        <w:t>50%负载转换效率</w:t>
      </w:r>
      <w:r w:rsidR="00625119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 xml:space="preserve">94% </w:t>
      </w:r>
      <w:r>
        <w:t>且功率因数</w:t>
      </w:r>
      <w:r w:rsidR="00CF3613">
        <w:rPr>
          <w:rFonts w:hint="eastAsia"/>
          <w:lang w:val="en-US" w:eastAsia="zh-CN" w:bidi="en-US"/>
        </w:rPr>
        <w:t>≥</w:t>
      </w:r>
      <w:r w:rsidR="00CF3613">
        <w:rPr>
          <w:lang w:val="en-US" w:eastAsia="zh-CN" w:bidi="en-US"/>
        </w:rPr>
        <w:t>0</w:t>
      </w:r>
      <w:r w:rsidR="00CF3613">
        <w:rPr>
          <w:rFonts w:hint="eastAsia"/>
          <w:lang w:val="en-US" w:eastAsia="zh-CN" w:bidi="en-US"/>
        </w:rPr>
        <w:t>.</w:t>
      </w:r>
      <w:r>
        <w:t>95, 100%负载转换效率391%</w:t>
      </w:r>
    </w:p>
    <w:p w:rsidR="00153376" w:rsidRDefault="00153376" w:rsidP="00153376">
      <w:pPr>
        <w:pStyle w:val="Bodytext10"/>
        <w:tabs>
          <w:tab w:val="left" w:pos="394"/>
        </w:tabs>
        <w:spacing w:line="481" w:lineRule="exact"/>
        <w:jc w:val="both"/>
      </w:pPr>
      <w:bookmarkStart w:id="2" w:name="bookmark5"/>
      <w:r>
        <w:t>3</w:t>
      </w:r>
      <w:bookmarkEnd w:id="2"/>
      <w:r>
        <w:t>、</w:t>
      </w:r>
      <w:r>
        <w:tab/>
        <w:t>每个节点配置</w:t>
      </w:r>
      <w:r>
        <w:rPr>
          <w:lang w:val="en-US" w:eastAsia="zh-CN" w:bidi="en-US"/>
        </w:rPr>
        <w:t>X86</w:t>
      </w:r>
      <w:r>
        <w:t>架构</w:t>
      </w:r>
      <w:r>
        <w:rPr>
          <w:lang w:val="en-US" w:eastAsia="zh-CN" w:bidi="en-US"/>
        </w:rPr>
        <w:t>CPU</w:t>
      </w:r>
      <w:r w:rsidR="00490FEF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2</w:t>
      </w:r>
      <w:r>
        <w:t>颗，</w:t>
      </w:r>
      <w:r>
        <w:rPr>
          <w:lang w:val="en-US" w:eastAsia="zh-CN" w:bidi="en-US"/>
        </w:rPr>
        <w:t>CPU</w:t>
      </w:r>
      <w:r>
        <w:t>核心</w:t>
      </w:r>
      <w:r w:rsidR="00490FEF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64</w:t>
      </w:r>
      <w:r>
        <w:t>个、基准频率</w:t>
      </w:r>
      <w:r w:rsidR="00490FEF">
        <w:rPr>
          <w:rFonts w:hint="eastAsia"/>
          <w:lang w:val="en-US" w:eastAsia="zh-CN" w:bidi="en-US"/>
        </w:rPr>
        <w:t>≥</w:t>
      </w:r>
      <w:r w:rsidR="00490FEF">
        <w:rPr>
          <w:lang w:val="en-US" w:eastAsia="zh-CN" w:bidi="en-US"/>
        </w:rPr>
        <w:t>2.</w:t>
      </w:r>
      <w:r>
        <w:rPr>
          <w:lang w:val="en-US" w:eastAsia="zh-CN" w:bidi="en-US"/>
        </w:rPr>
        <w:t>2GHz</w:t>
      </w:r>
    </w:p>
    <w:p w:rsidR="00153376" w:rsidRDefault="00153376" w:rsidP="00451754">
      <w:pPr>
        <w:pStyle w:val="Bodytext10"/>
        <w:tabs>
          <w:tab w:val="left" w:pos="398"/>
        </w:tabs>
        <w:spacing w:line="481" w:lineRule="exact"/>
        <w:jc w:val="both"/>
        <w:rPr>
          <w:lang w:eastAsia="zh-CN"/>
        </w:rPr>
      </w:pPr>
      <w:bookmarkStart w:id="3" w:name="bookmark6"/>
      <w:r>
        <w:t>4</w:t>
      </w:r>
      <w:bookmarkEnd w:id="3"/>
      <w:r>
        <w:t>、</w:t>
      </w:r>
      <w:r>
        <w:tab/>
        <w:t>每个节点配置容量</w:t>
      </w:r>
      <w:r w:rsidR="00335D46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768G</w:t>
      </w:r>
      <w:r>
        <w:t>的</w:t>
      </w:r>
      <w:r>
        <w:rPr>
          <w:lang w:val="en-US" w:eastAsia="zh-CN" w:bidi="en-US"/>
        </w:rPr>
        <w:t>DDR4 RDIMM</w:t>
      </w:r>
      <w:r>
        <w:t>内存，每个</w:t>
      </w:r>
      <w:r>
        <w:rPr>
          <w:lang w:val="en-US" w:eastAsia="zh-CN" w:bidi="en-US"/>
        </w:rPr>
        <w:t>CPU</w:t>
      </w:r>
      <w:r>
        <w:t>核数与内存比为1</w:t>
      </w:r>
      <w:r w:rsidR="00451754">
        <w:rPr>
          <w:rFonts w:hint="eastAsia"/>
          <w:lang w:eastAsia="zh-CN"/>
        </w:rPr>
        <w:t>：</w:t>
      </w:r>
      <w:r>
        <w:t>6,所有内存条需完全相同，内存实际运行频率</w:t>
      </w:r>
      <w:r w:rsidR="00752C42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3200 MT/s</w:t>
      </w:r>
      <w:r>
        <w:t>且不低于</w:t>
      </w:r>
      <w:r>
        <w:rPr>
          <w:lang w:val="en-US" w:eastAsia="zh-CN" w:bidi="en-US"/>
        </w:rPr>
        <w:t>CPU</w:t>
      </w:r>
      <w:r>
        <w:t>原厂支持的最高频率</w:t>
      </w:r>
    </w:p>
    <w:p w:rsidR="00153376" w:rsidRDefault="00153376" w:rsidP="00153376">
      <w:pPr>
        <w:pStyle w:val="Bodytext10"/>
        <w:tabs>
          <w:tab w:val="left" w:pos="398"/>
        </w:tabs>
        <w:spacing w:line="481" w:lineRule="exact"/>
        <w:jc w:val="both"/>
      </w:pPr>
      <w:bookmarkStart w:id="4" w:name="bookmark7"/>
      <w:r>
        <w:t>5</w:t>
      </w:r>
      <w:bookmarkEnd w:id="4"/>
      <w:r>
        <w:t>、</w:t>
      </w:r>
      <w:r>
        <w:tab/>
        <w:t>服务器配置企业级，数量</w:t>
      </w:r>
      <w:r w:rsidR="00335D46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12,</w:t>
      </w:r>
      <w:r>
        <w:t>容量</w:t>
      </w:r>
      <w:r w:rsidR="00C50F0B">
        <w:rPr>
          <w:rFonts w:hint="eastAsia"/>
          <w:lang w:val="en-US" w:eastAsia="zh-CN" w:bidi="en-US"/>
        </w:rPr>
        <w:t>≥</w:t>
      </w:r>
      <w:r>
        <w:rPr>
          <w:lang w:val="en-US" w:eastAsia="zh-CN" w:bidi="en-US"/>
        </w:rPr>
        <w:t>10TB</w:t>
      </w:r>
      <w:r w:rsidR="00054B48">
        <w:rPr>
          <w:rFonts w:hint="eastAsia"/>
          <w:lang w:val="en-US" w:eastAsia="zh-CN" w:bidi="en-US"/>
        </w:rPr>
        <w:t xml:space="preserve"> </w:t>
      </w:r>
      <w:r>
        <w:rPr>
          <w:lang w:val="en-US" w:eastAsia="zh-CN" w:bidi="en-US"/>
        </w:rPr>
        <w:t>SATA,</w:t>
      </w:r>
      <w:r>
        <w:t>接口釆用</w:t>
      </w:r>
      <w:r>
        <w:rPr>
          <w:lang w:val="en-US" w:eastAsia="zh-CN" w:bidi="en-US"/>
        </w:rPr>
        <w:t xml:space="preserve">SATA/SAS/NVMe </w:t>
      </w:r>
      <w:r>
        <w:t>均可，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jc w:val="both"/>
      </w:pPr>
      <w:bookmarkStart w:id="5" w:name="bookmark8"/>
      <w:r>
        <w:t>6</w:t>
      </w:r>
      <w:bookmarkEnd w:id="5"/>
      <w:r>
        <w:t>、</w:t>
      </w:r>
      <w:r>
        <w:tab/>
        <w:t>每个节点支持1个</w:t>
      </w:r>
      <w:r>
        <w:rPr>
          <w:lang w:val="en-US" w:eastAsia="zh-CN" w:bidi="en-US"/>
        </w:rPr>
        <w:t>NVMe</w:t>
      </w:r>
      <w:r>
        <w:t xml:space="preserve">接口 </w:t>
      </w:r>
      <w:r>
        <w:rPr>
          <w:lang w:val="en-US" w:eastAsia="zh-CN" w:bidi="en-US"/>
        </w:rPr>
        <w:t>SSD</w:t>
      </w:r>
      <w:r>
        <w:t>用于未来扩展、外观形态</w:t>
      </w:r>
      <w:r w:rsidR="00C61FDA">
        <w:rPr>
          <w:lang w:val="en-US" w:eastAsia="zh-CN" w:bidi="en-US"/>
        </w:rPr>
        <w:t>M.</w:t>
      </w:r>
      <w:r>
        <w:t>2、</w:t>
      </w:r>
      <w:r w:rsidR="00C61FDA">
        <w:rPr>
          <w:lang w:val="en-US" w:eastAsia="zh-CN" w:bidi="en-US"/>
        </w:rPr>
        <w:t>U.</w:t>
      </w:r>
      <w:r>
        <w:t>2、</w:t>
      </w:r>
      <w:r>
        <w:rPr>
          <w:lang w:val="en-US" w:eastAsia="zh-CN" w:bidi="en-US"/>
        </w:rPr>
        <w:t xml:space="preserve">HHHL </w:t>
      </w:r>
      <w:r>
        <w:t>均可，不要求热插拔，当前配置相应的托架、背板等配件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jc w:val="both"/>
      </w:pPr>
      <w:bookmarkStart w:id="6" w:name="bookmark9"/>
      <w:r>
        <w:t>7</w:t>
      </w:r>
      <w:bookmarkEnd w:id="6"/>
      <w:r>
        <w:t>、</w:t>
      </w:r>
      <w:r>
        <w:tab/>
        <w:t>每个节点配置</w:t>
      </w:r>
      <w:r w:rsidR="00627263">
        <w:rPr>
          <w:rFonts w:hint="eastAsia"/>
          <w:lang w:val="en-US" w:eastAsia="zh-CN" w:bidi="en-US"/>
        </w:rPr>
        <w:t>≥</w:t>
      </w:r>
      <w:r w:rsidR="00A35FF3">
        <w:rPr>
          <w:rFonts w:hint="eastAsia"/>
          <w:lang w:val="en-US" w:eastAsia="zh-CN" w:bidi="en-US"/>
        </w:rPr>
        <w:t>2</w:t>
      </w:r>
      <w:r>
        <w:t>个</w:t>
      </w:r>
      <w:r>
        <w:rPr>
          <w:lang w:val="en-US" w:eastAsia="zh-CN" w:bidi="en-US"/>
        </w:rPr>
        <w:t>1GE</w:t>
      </w:r>
      <w:r>
        <w:t>网口，能够与现有网络设备兼容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jc w:val="both"/>
      </w:pPr>
      <w:bookmarkStart w:id="7" w:name="bookmark10"/>
      <w:r>
        <w:t>8</w:t>
      </w:r>
      <w:bookmarkEnd w:id="7"/>
      <w:r>
        <w:t>、</w:t>
      </w:r>
      <w:r>
        <w:tab/>
        <w:t>每个节点支持安装2块</w:t>
      </w:r>
      <w:r>
        <w:rPr>
          <w:lang w:val="en-US" w:eastAsia="zh-CN" w:bidi="en-US"/>
        </w:rPr>
        <w:t xml:space="preserve">NVIDIA GeForce RTX </w:t>
      </w:r>
      <w:r>
        <w:t>3080配置相应的供电、插槽、 散热等附件，服务器最大可支持3块双宽的显卡。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jc w:val="both"/>
      </w:pPr>
      <w:bookmarkStart w:id="8" w:name="bookmark11"/>
      <w:r>
        <w:t>9</w:t>
      </w:r>
      <w:bookmarkEnd w:id="8"/>
      <w:r>
        <w:t>、</w:t>
      </w:r>
      <w:r>
        <w:tab/>
        <w:t>每个节点配置独立于操作系统的带外管理</w:t>
      </w:r>
    </w:p>
    <w:p w:rsidR="00153376" w:rsidRDefault="00153376" w:rsidP="00153376">
      <w:pPr>
        <w:pStyle w:val="Bodytext10"/>
        <w:tabs>
          <w:tab w:val="left" w:pos="384"/>
        </w:tabs>
        <w:spacing w:line="475" w:lineRule="exact"/>
        <w:jc w:val="both"/>
      </w:pPr>
      <w:bookmarkStart w:id="9" w:name="bookmark12"/>
      <w:r>
        <w:rPr>
          <w:lang w:val="en-US" w:eastAsia="zh-CN" w:bidi="en-US"/>
        </w:rPr>
        <w:lastRenderedPageBreak/>
        <w:t>a</w:t>
      </w:r>
      <w:bookmarkEnd w:id="9"/>
      <w:r>
        <w:rPr>
          <w:lang w:val="en-US" w:eastAsia="zh-CN" w:bidi="en-US"/>
        </w:rPr>
        <w:t>）</w:t>
      </w:r>
      <w:r>
        <w:rPr>
          <w:lang w:val="en-US" w:eastAsia="zh-CN" w:bidi="en-US"/>
        </w:rPr>
        <w:tab/>
      </w:r>
      <w:r>
        <w:t>釆用独立的以太网接口</w:t>
      </w:r>
    </w:p>
    <w:p w:rsidR="00153376" w:rsidRDefault="00153376" w:rsidP="00153376">
      <w:pPr>
        <w:pStyle w:val="Bodytext10"/>
        <w:tabs>
          <w:tab w:val="left" w:pos="384"/>
        </w:tabs>
        <w:spacing w:line="475" w:lineRule="exact"/>
      </w:pPr>
      <w:bookmarkStart w:id="10" w:name="bookmark13"/>
      <w:r>
        <w:rPr>
          <w:lang w:val="en-US" w:eastAsia="zh-CN" w:bidi="en-US"/>
        </w:rPr>
        <w:t>b</w:t>
      </w:r>
      <w:bookmarkEnd w:id="10"/>
      <w:r>
        <w:rPr>
          <w:lang w:val="en-US" w:eastAsia="zh-CN" w:bidi="en-US"/>
        </w:rPr>
        <w:t>）</w:t>
      </w:r>
      <w:r>
        <w:rPr>
          <w:lang w:val="en-US" w:eastAsia="zh-CN" w:bidi="en-US"/>
        </w:rPr>
        <w:tab/>
      </w:r>
      <w:r>
        <w:t>配置</w:t>
      </w:r>
      <w:r>
        <w:rPr>
          <w:lang w:val="en-US" w:eastAsia="zh-CN" w:bidi="en-US"/>
        </w:rPr>
        <w:t>IPMI 2.0,</w:t>
      </w:r>
      <w:r>
        <w:t>通过</w:t>
      </w:r>
      <w:r>
        <w:rPr>
          <w:lang w:val="en-US" w:eastAsia="zh-CN" w:bidi="en-US"/>
        </w:rPr>
        <w:t>IPMI</w:t>
      </w:r>
      <w:r>
        <w:t>可远程开关机和设定启动顺序</w:t>
      </w:r>
    </w:p>
    <w:p w:rsidR="00153376" w:rsidRDefault="00153376" w:rsidP="00153376">
      <w:pPr>
        <w:pStyle w:val="Bodytext10"/>
        <w:tabs>
          <w:tab w:val="left" w:pos="384"/>
        </w:tabs>
        <w:spacing w:line="475" w:lineRule="exact"/>
      </w:pPr>
      <w:bookmarkStart w:id="11" w:name="bookmark14"/>
      <w:r>
        <w:rPr>
          <w:lang w:val="en-US" w:bidi="en-US"/>
        </w:rPr>
        <w:t>c</w:t>
      </w:r>
      <w:bookmarkEnd w:id="11"/>
      <w:r>
        <w:rPr>
          <w:lang w:val="en-US" w:bidi="en-US"/>
        </w:rPr>
        <w:t>）</w:t>
      </w:r>
      <w:r>
        <w:rPr>
          <w:lang w:val="en-US" w:bidi="en-US"/>
        </w:rPr>
        <w:tab/>
      </w:r>
      <w:r>
        <w:t>配置远程</w:t>
      </w:r>
      <w:r>
        <w:rPr>
          <w:lang w:val="en-US" w:bidi="en-US"/>
        </w:rPr>
        <w:t>KVM over IP</w:t>
      </w:r>
      <w:r>
        <w:t>用于直接连接控制台</w:t>
      </w:r>
    </w:p>
    <w:p w:rsidR="00153376" w:rsidRDefault="00153376" w:rsidP="00153376">
      <w:pPr>
        <w:pStyle w:val="Bodytext10"/>
        <w:tabs>
          <w:tab w:val="left" w:pos="384"/>
        </w:tabs>
        <w:spacing w:line="475" w:lineRule="exact"/>
      </w:pPr>
      <w:bookmarkStart w:id="12" w:name="bookmark15"/>
      <w:r>
        <w:rPr>
          <w:lang w:val="en-US" w:bidi="en-US"/>
        </w:rPr>
        <w:t>d</w:t>
      </w:r>
      <w:bookmarkEnd w:id="12"/>
      <w:r>
        <w:rPr>
          <w:lang w:val="en-US" w:bidi="en-US"/>
        </w:rPr>
        <w:t>）</w:t>
      </w:r>
      <w:r>
        <w:rPr>
          <w:lang w:val="en-US" w:bidi="en-US"/>
        </w:rPr>
        <w:tab/>
      </w:r>
      <w:r>
        <w:t>配置远程加载光驱</w:t>
      </w:r>
      <w:r>
        <w:rPr>
          <w:lang w:val="en-US" w:bidi="en-US"/>
        </w:rPr>
        <w:t>/U</w:t>
      </w:r>
      <w:r>
        <w:t>盘、</w:t>
      </w:r>
      <w:r>
        <w:rPr>
          <w:lang w:val="en-US" w:bidi="en-US"/>
        </w:rPr>
        <w:t>NTP、</w:t>
      </w:r>
      <w:r>
        <w:t>远程</w:t>
      </w:r>
      <w:r>
        <w:rPr>
          <w:lang w:val="en-US" w:bidi="en-US"/>
        </w:rPr>
        <w:t>syslog、Email</w:t>
      </w:r>
      <w:r>
        <w:t>报警等</w:t>
      </w:r>
    </w:p>
    <w:p w:rsidR="00153376" w:rsidRDefault="00153376" w:rsidP="00153376">
      <w:pPr>
        <w:pStyle w:val="Bodytext10"/>
        <w:tabs>
          <w:tab w:val="left" w:pos="384"/>
        </w:tabs>
        <w:spacing w:line="475" w:lineRule="exact"/>
      </w:pPr>
      <w:bookmarkStart w:id="13" w:name="bookmark16"/>
      <w:r>
        <w:rPr>
          <w:lang w:val="en-US" w:bidi="en-US"/>
        </w:rPr>
        <w:t>e</w:t>
      </w:r>
      <w:bookmarkEnd w:id="13"/>
      <w:r>
        <w:rPr>
          <w:lang w:val="en-US" w:bidi="en-US"/>
        </w:rPr>
        <w:t>）</w:t>
      </w:r>
      <w:r>
        <w:rPr>
          <w:lang w:val="en-US" w:bidi="en-US"/>
        </w:rPr>
        <w:tab/>
      </w:r>
      <w:r>
        <w:t>基于</w:t>
      </w:r>
      <w:r>
        <w:rPr>
          <w:lang w:val="en-US" w:bidi="en-US"/>
        </w:rPr>
        <w:t>Web</w:t>
      </w:r>
      <w:r>
        <w:t>图形化管理和硬件状态监控</w:t>
      </w:r>
    </w:p>
    <w:p w:rsidR="00153376" w:rsidRPr="009F0F19" w:rsidRDefault="00153376" w:rsidP="00153376">
      <w:pPr>
        <w:pStyle w:val="Bodytext10"/>
        <w:spacing w:line="475" w:lineRule="exact"/>
        <w:rPr>
          <w:b/>
        </w:rPr>
      </w:pPr>
      <w:r w:rsidRPr="009F0F19">
        <w:rPr>
          <w:b/>
        </w:rPr>
        <w:t>软件部分：</w:t>
      </w:r>
    </w:p>
    <w:p w:rsidR="00153376" w:rsidRDefault="00153376" w:rsidP="00153376">
      <w:pPr>
        <w:pStyle w:val="Bodytext10"/>
        <w:tabs>
          <w:tab w:val="left" w:pos="380"/>
        </w:tabs>
        <w:spacing w:line="475" w:lineRule="exact"/>
        <w:ind w:left="360" w:hanging="360"/>
        <w:jc w:val="both"/>
      </w:pPr>
      <w:bookmarkStart w:id="14" w:name="bookmark17"/>
      <w:r>
        <w:t>1</w:t>
      </w:r>
      <w:bookmarkEnd w:id="14"/>
      <w:r>
        <w:t>、</w:t>
      </w:r>
      <w:r>
        <w:tab/>
        <w:t>提供企业级的连续数据备份、按需恢复服务，可简便地将各分节点的数据实 时备份到本地或异地的灾备中心节点，并且按需快速地恢复需要的数据。严 格保证生产系统和灾备中心数据的一致性和完整性。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ind w:left="360" w:hanging="360"/>
        <w:jc w:val="both"/>
      </w:pPr>
      <w:bookmarkStart w:id="15" w:name="bookmark18"/>
      <w:r>
        <w:t>2</w:t>
      </w:r>
      <w:bookmarkEnd w:id="15"/>
      <w:r>
        <w:t>、</w:t>
      </w:r>
      <w:r>
        <w:tab/>
        <w:t>可广泛应用于普通文件系统、数据库系统、邮件系统等实时的容灾备份保护。 具有全新的系统分成架构、字节级增量数据捕获、序列化数据传输等特点。</w:t>
      </w:r>
    </w:p>
    <w:p w:rsidR="00153376" w:rsidRDefault="00153376" w:rsidP="00153376">
      <w:pPr>
        <w:pStyle w:val="Bodytext10"/>
        <w:tabs>
          <w:tab w:val="left" w:pos="398"/>
        </w:tabs>
        <w:spacing w:line="475" w:lineRule="exact"/>
        <w:jc w:val="both"/>
      </w:pPr>
      <w:bookmarkStart w:id="16" w:name="bookmark19"/>
      <w:r>
        <w:t>3</w:t>
      </w:r>
      <w:bookmarkEnd w:id="16"/>
      <w:r>
        <w:t>、</w:t>
      </w:r>
      <w:r>
        <w:tab/>
        <w:t>提供多种备份策略管理，按时备份、定时备份、实时备份，满足不同场景下</w:t>
      </w:r>
    </w:p>
    <w:p w:rsidR="00153376" w:rsidRDefault="00153376" w:rsidP="00153376">
      <w:pPr>
        <w:pStyle w:val="Bodytext10"/>
        <w:spacing w:after="60" w:line="317" w:lineRule="exact"/>
        <w:ind w:firstLine="380"/>
      </w:pPr>
      <w:r>
        <w:t>对数据重要性进行备份的要求。</w:t>
      </w:r>
    </w:p>
    <w:p w:rsidR="00153376" w:rsidRDefault="00153376" w:rsidP="00153376">
      <w:pPr>
        <w:pStyle w:val="Bodytext10"/>
        <w:tabs>
          <w:tab w:val="left" w:pos="376"/>
        </w:tabs>
        <w:spacing w:line="317" w:lineRule="exact"/>
        <w:ind w:left="380" w:hanging="380"/>
      </w:pPr>
      <w:bookmarkStart w:id="17" w:name="bookmark20"/>
      <w:r>
        <w:t>4</w:t>
      </w:r>
      <w:bookmarkEnd w:id="17"/>
      <w:r>
        <w:t>、</w:t>
      </w:r>
      <w:r>
        <w:tab/>
        <w:t>支持编写一些命令行脚本方式来定义个性化的备份策略，作为备份软件的补 充。</w:t>
      </w:r>
    </w:p>
    <w:p w:rsidR="00153376" w:rsidRDefault="00153376" w:rsidP="00153376">
      <w:pPr>
        <w:pStyle w:val="Bodytext10"/>
        <w:tabs>
          <w:tab w:val="left" w:pos="376"/>
        </w:tabs>
        <w:spacing w:line="317" w:lineRule="exact"/>
      </w:pPr>
      <w:bookmarkStart w:id="18" w:name="bookmark21"/>
      <w:r>
        <w:t>5</w:t>
      </w:r>
      <w:bookmarkEnd w:id="18"/>
      <w:r>
        <w:t>、</w:t>
      </w:r>
      <w:r>
        <w:tab/>
        <w:t>在服务期内，协助用户安装、调试生信领域相关开源应用软件；</w:t>
      </w:r>
    </w:p>
    <w:p w:rsidR="00C00029" w:rsidRDefault="00C00029">
      <w:pPr>
        <w:rPr>
          <w:rFonts w:hint="eastAsia"/>
          <w:noProof/>
          <w:lang w:eastAsia="zh-TW"/>
        </w:rPr>
      </w:pPr>
    </w:p>
    <w:p w:rsidR="00000000" w:rsidRDefault="008107D1">
      <w:pPr>
        <w:rPr>
          <w:rFonts w:hint="eastAsia"/>
        </w:rPr>
      </w:pPr>
    </w:p>
    <w:p w:rsidR="00C00029" w:rsidRDefault="00C00029"/>
    <w:sectPr w:rsidR="00C0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D1" w:rsidRDefault="008107D1" w:rsidP="00C00029">
      <w:r>
        <w:separator/>
      </w:r>
    </w:p>
  </w:endnote>
  <w:endnote w:type="continuationSeparator" w:id="1">
    <w:p w:rsidR="008107D1" w:rsidRDefault="008107D1" w:rsidP="00C00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D1" w:rsidRDefault="008107D1" w:rsidP="00C00029">
      <w:r>
        <w:separator/>
      </w:r>
    </w:p>
  </w:footnote>
  <w:footnote w:type="continuationSeparator" w:id="1">
    <w:p w:rsidR="008107D1" w:rsidRDefault="008107D1" w:rsidP="00C00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29"/>
    <w:rsid w:val="00054B48"/>
    <w:rsid w:val="000B7E87"/>
    <w:rsid w:val="000D0CE1"/>
    <w:rsid w:val="00153376"/>
    <w:rsid w:val="00335D46"/>
    <w:rsid w:val="00410282"/>
    <w:rsid w:val="00451754"/>
    <w:rsid w:val="00490FEF"/>
    <w:rsid w:val="00612566"/>
    <w:rsid w:val="00625119"/>
    <w:rsid w:val="00627263"/>
    <w:rsid w:val="00752C42"/>
    <w:rsid w:val="008107D1"/>
    <w:rsid w:val="009F0F19"/>
    <w:rsid w:val="00A35FF3"/>
    <w:rsid w:val="00A819AD"/>
    <w:rsid w:val="00C00029"/>
    <w:rsid w:val="00C50F0B"/>
    <w:rsid w:val="00C61FDA"/>
    <w:rsid w:val="00CF3613"/>
    <w:rsid w:val="00D31406"/>
    <w:rsid w:val="00F6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0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00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0029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153376"/>
    <w:rPr>
      <w:rFonts w:ascii="宋体" w:eastAsia="宋体" w:hAnsi="宋体" w:cs="宋体"/>
      <w:color w:val="000000"/>
      <w:sz w:val="24"/>
      <w:szCs w:val="24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53376"/>
    <w:pPr>
      <w:spacing w:line="418" w:lineRule="auto"/>
      <w:jc w:val="left"/>
    </w:pPr>
    <w:rPr>
      <w:rFonts w:ascii="宋体" w:eastAsia="宋体" w:hAnsi="宋体" w:cs="宋体"/>
      <w:color w:val="000000"/>
      <w:sz w:val="24"/>
      <w:szCs w:val="24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21</cp:revision>
  <dcterms:created xsi:type="dcterms:W3CDTF">2021-03-26T02:52:00Z</dcterms:created>
  <dcterms:modified xsi:type="dcterms:W3CDTF">2021-03-26T03:13:00Z</dcterms:modified>
</cp:coreProperties>
</file>